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>
      <w:pPr>
        <w:pStyle w:val="Normal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pBdr>
          <w:bottom w:val="single" w:sz="12" w:space="1" w:color="000000"/>
        </w:pBdr>
        <w:jc w:val="both"/>
        <w:rPr>
          <w:sz w:val="28"/>
          <w:szCs w:val="28"/>
        </w:rPr>
      </w:pPr>
      <w:r>
        <w:rPr>
          <w:sz w:val="28"/>
          <w:szCs w:val="28"/>
        </w:rPr>
        <w:t>20.01.2025                                             № 26                                г. Новошахтинск</w:t>
      </w:r>
    </w:p>
    <w:p>
      <w:pPr>
        <w:pStyle w:val="Normal"/>
        <w:jc w:val="center"/>
        <w:rPr>
          <w:b/>
          <w:sz w:val="16"/>
          <w:szCs w:val="28"/>
          <w:u w:val="single"/>
        </w:rPr>
      </w:pPr>
      <w:r>
        <w:rPr>
          <w:b/>
          <w:sz w:val="16"/>
          <w:szCs w:val="28"/>
          <w:u w:val="single"/>
        </w:rPr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 xml:space="preserve">Об утверждении перечня объектов муниципальной собственности,  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 xml:space="preserve">в отношении которых планируется заключение 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концессионных соглашений в 2025 году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 xml:space="preserve">В соответствии с  пунктом 3 статьи 4 Федерального закона                             от 21.07.2005 № 115-ФЗ «О концессионных соглашениях», руководствуясь Федеральным законом от 06.10.2003 № 131-ФЗ «Об общих принципах организации местного самоуправления в Российской Федерации»,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перечень объектов муниципальной собственности, в от-ношении которых планируется заключение концессионных соглашений                   в 2025 году согласно приложению. 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Комитету по управлению имуществом Администрации города Новошахтинска (Авраменко Т.Г.) разместить настоящее постановление на официальном сайте Российской Федерации в информационно-телекоммуникационной сети Интернет для размещения информации о проведении торгов. 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 даты его подписания и подлежит размещению на официальном сайте Администрации города Новошахтинска в сети Интернет.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постановления возложить на заместителя Главы Администрации города по строительству, жилищным вопросам и земельно-имущественным отношениям Маловичко О.А.</w:t>
      </w:r>
    </w:p>
    <w:p>
      <w:pPr>
        <w:pStyle w:val="Normal"/>
        <w:jc w:val="both"/>
        <w:rPr>
          <w:sz w:val="32"/>
          <w:szCs w:val="28"/>
        </w:rPr>
      </w:pPr>
      <w:r>
        <w:rPr>
          <w:sz w:val="32"/>
          <w:szCs w:val="28"/>
        </w:rPr>
      </w:r>
    </w:p>
    <w:p>
      <w:pPr>
        <w:pStyle w:val="Normal"/>
        <w:jc w:val="both"/>
        <w:rPr>
          <w:sz w:val="32"/>
          <w:szCs w:val="28"/>
        </w:rPr>
      </w:pPr>
      <w:r>
        <w:rPr>
          <w:sz w:val="32"/>
          <w:szCs w:val="28"/>
        </w:rPr>
      </w:r>
    </w:p>
    <w:p>
      <w:pPr>
        <w:pStyle w:val="Normal"/>
        <w:ind w:end="-113"/>
        <w:jc w:val="both"/>
        <w:rPr/>
      </w:pPr>
      <w:r>
        <w:rPr>
          <w:sz w:val="28"/>
          <w:szCs w:val="28"/>
        </w:rPr>
        <w:t xml:space="preserve">Глава Администрации города </w:t>
        <w:tab/>
        <w:tab/>
        <w:tab/>
        <w:tab/>
        <w:t xml:space="preserve">              С.А. Бондаренко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Normal"/>
        <w:jc w:val="both"/>
        <w:rPr>
          <w:sz w:val="68"/>
          <w:szCs w:val="28"/>
        </w:rPr>
      </w:pPr>
      <w:r>
        <w:rPr>
          <w:sz w:val="6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вносит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Комитет по управлению имуществом </w:t>
      </w:r>
    </w:p>
    <w:p>
      <w:pPr>
        <w:pStyle w:val="Normal"/>
        <w:jc w:val="both"/>
        <w:rPr/>
      </w:pPr>
      <w:r>
        <w:rPr>
          <w:sz w:val="28"/>
          <w:szCs w:val="28"/>
        </w:rPr>
        <w:t>Администрации города</w:t>
      </w:r>
    </w:p>
    <w:p>
      <w:pPr>
        <w:pStyle w:val="Style31"/>
        <w:widowControl/>
        <w:ind w:start="6520" w:end="113"/>
        <w:jc w:val="center"/>
        <w:rPr/>
      </w:pPr>
      <w:r>
        <w:rPr>
          <w:rStyle w:val="FontStyle50"/>
          <w:rFonts w:cs="Times New Roman;TimesDL" w:ascii="Times New Roman;TimesDL" w:hAnsi="Times New Roman;TimesDL"/>
          <w:b w:val="false"/>
          <w:sz w:val="28"/>
          <w:szCs w:val="28"/>
        </w:rPr>
        <w:t>Приложение</w:t>
      </w:r>
    </w:p>
    <w:p>
      <w:pPr>
        <w:pStyle w:val="Style31"/>
        <w:widowControl/>
        <w:ind w:start="6520"/>
        <w:jc w:val="center"/>
        <w:rPr/>
      </w:pPr>
      <w:r>
        <w:rPr>
          <w:rStyle w:val="FontStyle50"/>
          <w:rFonts w:cs="Times New Roman;TimesDL" w:ascii="Times New Roman;TimesDL" w:hAnsi="Times New Roman;TimesDL"/>
          <w:b w:val="false"/>
          <w:sz w:val="28"/>
          <w:szCs w:val="28"/>
        </w:rPr>
        <w:t xml:space="preserve">к постановлению </w:t>
      </w:r>
    </w:p>
    <w:p>
      <w:pPr>
        <w:pStyle w:val="Style31"/>
        <w:widowControl/>
        <w:ind w:start="6520"/>
        <w:jc w:val="center"/>
        <w:rPr/>
      </w:pPr>
      <w:r>
        <w:rPr>
          <w:rStyle w:val="FontStyle50"/>
          <w:rFonts w:cs="Times New Roman;TimesDL" w:ascii="Times New Roman;TimesDL" w:hAnsi="Times New Roman;TimesDL"/>
          <w:b w:val="false"/>
          <w:sz w:val="28"/>
          <w:szCs w:val="28"/>
        </w:rPr>
        <w:t>Администрации города</w:t>
      </w:r>
    </w:p>
    <w:p>
      <w:pPr>
        <w:pStyle w:val="Style31"/>
        <w:widowControl/>
        <w:ind w:start="6520"/>
        <w:jc w:val="center"/>
        <w:rPr/>
      </w:pPr>
      <w:r>
        <w:rPr>
          <w:rStyle w:val="FontStyle50"/>
          <w:rFonts w:cs="Times New Roman;TimesDL" w:ascii="Times New Roman;TimesDL" w:hAnsi="Times New Roman;TimesDL"/>
          <w:b w:val="false"/>
          <w:sz w:val="28"/>
          <w:szCs w:val="28"/>
        </w:rPr>
        <w:t>от 20.01.2025 № 26</w:t>
      </w:r>
    </w:p>
    <w:p>
      <w:pPr>
        <w:pStyle w:val="ConsPlusNormal"/>
        <w:numPr>
          <w:ilvl w:val="0"/>
          <w:numId w:val="0"/>
        </w:numPr>
        <w:ind w:firstLine="720"/>
        <w:jc w:val="both"/>
        <w:outlineLvl w:val="1"/>
        <w:rPr>
          <w:rFonts w:ascii="Times New Roman;TimesDL" w:hAnsi="Times New Roman;TimesDL" w:cs="Times New Roman;TimesDL"/>
          <w:sz w:val="28"/>
          <w:szCs w:val="28"/>
        </w:rPr>
      </w:pPr>
      <w:r>
        <w:rPr>
          <w:rFonts w:cs="Times New Roman;TimesDL" w:ascii="Times New Roman;TimesDL" w:hAnsi="Times New Roman;TimesDL"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объектов муниципальной собственности, в отношении которых планируется  заключение концессионных соглашений в 2025 году </w:t>
      </w:r>
    </w:p>
    <w:p>
      <w:pPr>
        <w:pStyle w:val="Normal"/>
        <w:jc w:val="center"/>
        <w:rPr/>
      </w:pPr>
      <w:r>
        <w:rPr>
          <w:sz w:val="28"/>
          <w:szCs w:val="28"/>
        </w:rPr>
        <w:t>(согласно выписок из ЕГРН)</w:t>
      </w:r>
    </w:p>
    <w:p>
      <w:pPr>
        <w:pStyle w:val="ConsPlusNormal"/>
        <w:numPr>
          <w:ilvl w:val="0"/>
          <w:numId w:val="0"/>
        </w:numPr>
        <w:ind w:firstLine="720"/>
        <w:jc w:val="both"/>
        <w:outlineLvl w:val="1"/>
        <w:rPr>
          <w:rFonts w:ascii="Times New Roman;TimesDL" w:hAnsi="Times New Roman;TimesDL" w:cs="Times New Roman;TimesDL"/>
          <w:sz w:val="28"/>
          <w:szCs w:val="28"/>
        </w:rPr>
      </w:pPr>
      <w:r>
        <w:rPr>
          <w:rFonts w:cs="Times New Roman;TimesDL" w:ascii="Times New Roman;TimesDL" w:hAnsi="Times New Roman;TimesDL"/>
          <w:sz w:val="28"/>
          <w:szCs w:val="28"/>
        </w:rPr>
      </w:r>
    </w:p>
    <w:tbl>
      <w:tblPr>
        <w:tblW w:w="9996" w:type="dxa"/>
        <w:jc w:val="start"/>
        <w:tblInd w:w="-274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562"/>
        <w:gridCol w:w="2719"/>
        <w:gridCol w:w="4822"/>
        <w:gridCol w:w="1892"/>
      </w:tblGrid>
      <w:tr>
        <w:trPr/>
        <w:tc>
          <w:tcPr>
            <w:tcW w:w="5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/>
              <w:jc w:val="center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 xml:space="preserve">№ </w:t>
            </w: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п/п</w:t>
            </w:r>
          </w:p>
        </w:tc>
        <w:tc>
          <w:tcPr>
            <w:tcW w:w="27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Наименование объекта</w:t>
            </w:r>
          </w:p>
        </w:tc>
        <w:tc>
          <w:tcPr>
            <w:tcW w:w="48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Адрес объекта</w:t>
            </w:r>
          </w:p>
        </w:tc>
        <w:tc>
          <w:tcPr>
            <w:tcW w:w="18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Площадь/</w:t>
            </w:r>
          </w:p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протяженность,</w:t>
            </w:r>
          </w:p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кв. м/м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1</w:t>
            </w:r>
          </w:p>
        </w:tc>
        <w:tc>
          <w:tcPr>
            <w:tcW w:w="27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2</w:t>
            </w:r>
          </w:p>
        </w:tc>
        <w:tc>
          <w:tcPr>
            <w:tcW w:w="48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3</w:t>
            </w:r>
          </w:p>
        </w:tc>
        <w:tc>
          <w:tcPr>
            <w:tcW w:w="18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1.</w:t>
            </w:r>
          </w:p>
        </w:tc>
        <w:tc>
          <w:tcPr>
            <w:tcW w:w="27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Помещение котельной</w:t>
            </w:r>
          </w:p>
        </w:tc>
        <w:tc>
          <w:tcPr>
            <w:tcW w:w="48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г. Новошахтинск, ул. Франко, дом №2, по-мещение 1</w:t>
            </w:r>
          </w:p>
        </w:tc>
        <w:tc>
          <w:tcPr>
            <w:tcW w:w="18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82,8 кв. м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2.</w:t>
            </w:r>
          </w:p>
        </w:tc>
        <w:tc>
          <w:tcPr>
            <w:tcW w:w="27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Здание</w:t>
            </w:r>
          </w:p>
        </w:tc>
        <w:tc>
          <w:tcPr>
            <w:tcW w:w="48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г. Новошахтинск, ул. Садовая, дом №33-а</w:t>
            </w:r>
          </w:p>
        </w:tc>
        <w:tc>
          <w:tcPr>
            <w:tcW w:w="18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272,3 кв. м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3.</w:t>
            </w:r>
          </w:p>
        </w:tc>
        <w:tc>
          <w:tcPr>
            <w:tcW w:w="27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Здание котельной</w:t>
            </w:r>
          </w:p>
        </w:tc>
        <w:tc>
          <w:tcPr>
            <w:tcW w:w="48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г. Новошахтинск, ул. Парковая, дом №38-а</w:t>
            </w:r>
          </w:p>
        </w:tc>
        <w:tc>
          <w:tcPr>
            <w:tcW w:w="18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551,1 кв. м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4.</w:t>
            </w:r>
          </w:p>
        </w:tc>
        <w:tc>
          <w:tcPr>
            <w:tcW w:w="27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Модульная котельная</w:t>
            </w:r>
          </w:p>
        </w:tc>
        <w:tc>
          <w:tcPr>
            <w:tcW w:w="48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г. Новошахтинск, ул. 40 Лет Советской Армии,6-а</w:t>
            </w:r>
          </w:p>
        </w:tc>
        <w:tc>
          <w:tcPr>
            <w:tcW w:w="18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59,90 кв. м</w:t>
            </w:r>
          </w:p>
        </w:tc>
      </w:tr>
      <w:tr>
        <w:trPr>
          <w:trHeight w:val="746" w:hRule="atLeast"/>
        </w:trPr>
        <w:tc>
          <w:tcPr>
            <w:tcW w:w="5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5.</w:t>
            </w:r>
          </w:p>
        </w:tc>
        <w:tc>
          <w:tcPr>
            <w:tcW w:w="27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Блочно-модульная ко-тельная «ТМК-400» с тех.оборудованием</w:t>
            </w:r>
          </w:p>
        </w:tc>
        <w:tc>
          <w:tcPr>
            <w:tcW w:w="48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г. Новошахтинск, ул. Пичугина, 20-б</w:t>
            </w:r>
          </w:p>
        </w:tc>
        <w:tc>
          <w:tcPr>
            <w:tcW w:w="18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snapToGrid w:val="false"/>
              <w:ind w:hanging="0" w:end="43"/>
              <w:jc w:val="center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6.</w:t>
            </w:r>
          </w:p>
        </w:tc>
        <w:tc>
          <w:tcPr>
            <w:tcW w:w="27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Здание котельной</w:t>
            </w:r>
          </w:p>
        </w:tc>
        <w:tc>
          <w:tcPr>
            <w:tcW w:w="48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г. Новошахтинск, ул. Перспективная,</w:t>
            </w:r>
          </w:p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дом №6</w:t>
            </w:r>
          </w:p>
        </w:tc>
        <w:tc>
          <w:tcPr>
            <w:tcW w:w="18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30,9 кв. м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7.</w:t>
            </w:r>
          </w:p>
        </w:tc>
        <w:tc>
          <w:tcPr>
            <w:tcW w:w="27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Здание котельной</w:t>
            </w:r>
          </w:p>
        </w:tc>
        <w:tc>
          <w:tcPr>
            <w:tcW w:w="48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г. Новошахтинск, ул. Садовая, №23-к</w:t>
            </w:r>
          </w:p>
        </w:tc>
        <w:tc>
          <w:tcPr>
            <w:tcW w:w="18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118,60 кв. м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8.</w:t>
            </w:r>
          </w:p>
        </w:tc>
        <w:tc>
          <w:tcPr>
            <w:tcW w:w="27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Здание котельной</w:t>
            </w:r>
          </w:p>
        </w:tc>
        <w:tc>
          <w:tcPr>
            <w:tcW w:w="48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г. Новошахтинск, ул. Чайковского, №83-б</w:t>
            </w:r>
          </w:p>
        </w:tc>
        <w:tc>
          <w:tcPr>
            <w:tcW w:w="18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289,90 кв. м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9.</w:t>
            </w:r>
          </w:p>
        </w:tc>
        <w:tc>
          <w:tcPr>
            <w:tcW w:w="27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Здание котельной</w:t>
            </w:r>
          </w:p>
        </w:tc>
        <w:tc>
          <w:tcPr>
            <w:tcW w:w="48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г. Новошахтинск, ул. Достоевского, №40-в</w:t>
            </w:r>
          </w:p>
        </w:tc>
        <w:tc>
          <w:tcPr>
            <w:tcW w:w="18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536,3 кв. м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10.</w:t>
            </w:r>
          </w:p>
        </w:tc>
        <w:tc>
          <w:tcPr>
            <w:tcW w:w="27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Котельная</w:t>
            </w:r>
          </w:p>
        </w:tc>
        <w:tc>
          <w:tcPr>
            <w:tcW w:w="48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г. Новошахтинск, ул. Харьковская,</w:t>
            </w:r>
          </w:p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дом №72-д</w:t>
            </w:r>
          </w:p>
        </w:tc>
        <w:tc>
          <w:tcPr>
            <w:tcW w:w="18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270 кв. м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11.</w:t>
            </w:r>
          </w:p>
        </w:tc>
        <w:tc>
          <w:tcPr>
            <w:tcW w:w="27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Здание котельной</w:t>
            </w:r>
          </w:p>
        </w:tc>
        <w:tc>
          <w:tcPr>
            <w:tcW w:w="48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г. Новошахтинск, ул. Давыдова, дом №2-а</w:t>
            </w:r>
          </w:p>
        </w:tc>
        <w:tc>
          <w:tcPr>
            <w:tcW w:w="18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53 кв. м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12.</w:t>
            </w:r>
          </w:p>
        </w:tc>
        <w:tc>
          <w:tcPr>
            <w:tcW w:w="27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Здание котельной</w:t>
            </w:r>
          </w:p>
        </w:tc>
        <w:tc>
          <w:tcPr>
            <w:tcW w:w="48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г. Новошахтинск, ул. Кузнецкая, дом №43-а</w:t>
            </w:r>
          </w:p>
        </w:tc>
        <w:tc>
          <w:tcPr>
            <w:tcW w:w="18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450,2 кв. м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13.</w:t>
            </w:r>
          </w:p>
        </w:tc>
        <w:tc>
          <w:tcPr>
            <w:tcW w:w="27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Здание котельной</w:t>
            </w:r>
          </w:p>
        </w:tc>
        <w:tc>
          <w:tcPr>
            <w:tcW w:w="48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г. Новошахтинск, ул. Тургенева, дом №2-а</w:t>
            </w:r>
          </w:p>
        </w:tc>
        <w:tc>
          <w:tcPr>
            <w:tcW w:w="18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179,5 кв. м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14.</w:t>
            </w:r>
          </w:p>
        </w:tc>
        <w:tc>
          <w:tcPr>
            <w:tcW w:w="27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Блочно-модуль-ная котельная «ТМК-2500» с тех.оборудованием</w:t>
            </w:r>
          </w:p>
        </w:tc>
        <w:tc>
          <w:tcPr>
            <w:tcW w:w="48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г. Новошахтинск, ул. Коперника, 8-в</w:t>
            </w:r>
          </w:p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</w:r>
          </w:p>
        </w:tc>
        <w:tc>
          <w:tcPr>
            <w:tcW w:w="18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snapToGrid w:val="false"/>
              <w:ind w:hanging="0" w:end="43"/>
              <w:jc w:val="center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</w:r>
          </w:p>
        </w:tc>
      </w:tr>
      <w:tr>
        <w:trPr>
          <w:trHeight w:val="324" w:hRule="atLeast"/>
        </w:trPr>
        <w:tc>
          <w:tcPr>
            <w:tcW w:w="5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15.</w:t>
            </w:r>
          </w:p>
        </w:tc>
        <w:tc>
          <w:tcPr>
            <w:tcW w:w="27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Здание котельной</w:t>
            </w:r>
          </w:p>
        </w:tc>
        <w:tc>
          <w:tcPr>
            <w:tcW w:w="48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г. Новошахтинск, ул. Зорге, №41-а</w:t>
            </w:r>
          </w:p>
        </w:tc>
        <w:tc>
          <w:tcPr>
            <w:tcW w:w="18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443,7 кв. м</w:t>
            </w:r>
          </w:p>
        </w:tc>
      </w:tr>
      <w:tr>
        <w:trPr>
          <w:trHeight w:val="413" w:hRule="atLeast"/>
        </w:trPr>
        <w:tc>
          <w:tcPr>
            <w:tcW w:w="5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16.</w:t>
            </w:r>
          </w:p>
        </w:tc>
        <w:tc>
          <w:tcPr>
            <w:tcW w:w="27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Здание котельной</w:t>
            </w:r>
          </w:p>
        </w:tc>
        <w:tc>
          <w:tcPr>
            <w:tcW w:w="48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г. Новошахтинск, ул. Харьковская, №16-б</w:t>
            </w:r>
          </w:p>
        </w:tc>
        <w:tc>
          <w:tcPr>
            <w:tcW w:w="18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295,2 кв. м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17.</w:t>
            </w:r>
          </w:p>
        </w:tc>
        <w:tc>
          <w:tcPr>
            <w:tcW w:w="27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Здание котельной</w:t>
            </w:r>
          </w:p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</w:r>
          </w:p>
        </w:tc>
        <w:tc>
          <w:tcPr>
            <w:tcW w:w="48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г. Новошахтинск, ул. Советской Консти-туции, дом №8-к</w:t>
            </w:r>
          </w:p>
        </w:tc>
        <w:tc>
          <w:tcPr>
            <w:tcW w:w="18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56,5 кв. м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18.</w:t>
            </w:r>
          </w:p>
        </w:tc>
        <w:tc>
          <w:tcPr>
            <w:tcW w:w="27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Котельная</w:t>
            </w:r>
          </w:p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</w:r>
          </w:p>
        </w:tc>
        <w:tc>
          <w:tcPr>
            <w:tcW w:w="48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г. Новошахтинск, ул. Радио, №84, поме-щение 1</w:t>
            </w:r>
          </w:p>
        </w:tc>
        <w:tc>
          <w:tcPr>
            <w:tcW w:w="18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715,7 кв. м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19.</w:t>
            </w:r>
          </w:p>
        </w:tc>
        <w:tc>
          <w:tcPr>
            <w:tcW w:w="27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Здание котельной</w:t>
            </w:r>
          </w:p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</w:r>
          </w:p>
        </w:tc>
        <w:tc>
          <w:tcPr>
            <w:tcW w:w="48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Ростовская обл., Родионово-Несветайский район, 200 м восточнее п. Самбек г. Ново-шахтинска</w:t>
            </w:r>
          </w:p>
        </w:tc>
        <w:tc>
          <w:tcPr>
            <w:tcW w:w="18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1 244,6 кв. м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20.</w:t>
            </w:r>
          </w:p>
        </w:tc>
        <w:tc>
          <w:tcPr>
            <w:tcW w:w="27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Помещение 14 по</w:t>
            </w:r>
          </w:p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ул. Молодогвардей- цев, 10</w:t>
            </w:r>
          </w:p>
        </w:tc>
        <w:tc>
          <w:tcPr>
            <w:tcW w:w="48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г. Новошахтинск, ул. Молодогвардейцев, дом № 10, помещение 14</w:t>
            </w:r>
          </w:p>
        </w:tc>
        <w:tc>
          <w:tcPr>
            <w:tcW w:w="18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330,6 кв. м</w:t>
            </w:r>
          </w:p>
        </w:tc>
      </w:tr>
      <w:tr>
        <w:trPr>
          <w:trHeight w:val="573" w:hRule="atLeast"/>
        </w:trPr>
        <w:tc>
          <w:tcPr>
            <w:tcW w:w="5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21.</w:t>
            </w:r>
          </w:p>
        </w:tc>
        <w:tc>
          <w:tcPr>
            <w:tcW w:w="27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start="-57" w:end="-57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Здание гаража (литер Б)</w:t>
            </w:r>
          </w:p>
          <w:p>
            <w:pPr>
              <w:pStyle w:val="ConsPlusNormal"/>
              <w:numPr>
                <w:ilvl w:val="0"/>
                <w:numId w:val="0"/>
              </w:numPr>
              <w:tabs>
                <w:tab w:val="clear" w:pos="708"/>
                <w:tab w:val="right" w:pos="3029" w:leader="none"/>
              </w:tabs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</w:r>
          </w:p>
        </w:tc>
        <w:tc>
          <w:tcPr>
            <w:tcW w:w="48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г. Новошахтинск, ул. Молодогвардейцев, дом № 10-а</w:t>
            </w:r>
          </w:p>
        </w:tc>
        <w:tc>
          <w:tcPr>
            <w:tcW w:w="18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23,3 кв. м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1.</w:t>
            </w:r>
          </w:p>
        </w:tc>
        <w:tc>
          <w:tcPr>
            <w:tcW w:w="27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2.</w:t>
            </w:r>
          </w:p>
        </w:tc>
        <w:tc>
          <w:tcPr>
            <w:tcW w:w="48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3.</w:t>
            </w:r>
          </w:p>
        </w:tc>
        <w:tc>
          <w:tcPr>
            <w:tcW w:w="18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4.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22.</w:t>
            </w:r>
          </w:p>
        </w:tc>
        <w:tc>
          <w:tcPr>
            <w:tcW w:w="27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-57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Здание гаража (литер В)</w:t>
            </w:r>
          </w:p>
        </w:tc>
        <w:tc>
          <w:tcPr>
            <w:tcW w:w="48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г. Новошахтинск, ул. Молодогвардейцев, дом № 10-а</w:t>
            </w:r>
          </w:p>
        </w:tc>
        <w:tc>
          <w:tcPr>
            <w:tcW w:w="18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65,1 кв. м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23.</w:t>
            </w:r>
          </w:p>
        </w:tc>
        <w:tc>
          <w:tcPr>
            <w:tcW w:w="27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-57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Здание гаража (литер Е)</w:t>
            </w:r>
          </w:p>
        </w:tc>
        <w:tc>
          <w:tcPr>
            <w:tcW w:w="48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г. Новошахтинск, ул. Молодогвардейцев, дом № 10-а</w:t>
            </w:r>
          </w:p>
        </w:tc>
        <w:tc>
          <w:tcPr>
            <w:tcW w:w="18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293,8 кв. м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24.</w:t>
            </w:r>
          </w:p>
        </w:tc>
        <w:tc>
          <w:tcPr>
            <w:tcW w:w="27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-57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Здание склада (литер М)</w:t>
            </w:r>
          </w:p>
        </w:tc>
        <w:tc>
          <w:tcPr>
            <w:tcW w:w="48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г. Новошахтинск, ул. Молодогвардейцев, дом № 10-а</w:t>
            </w:r>
          </w:p>
        </w:tc>
        <w:tc>
          <w:tcPr>
            <w:tcW w:w="18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314,5 кв. м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25.</w:t>
            </w:r>
          </w:p>
        </w:tc>
        <w:tc>
          <w:tcPr>
            <w:tcW w:w="27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-57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Здание склада (литер С)</w:t>
            </w:r>
          </w:p>
        </w:tc>
        <w:tc>
          <w:tcPr>
            <w:tcW w:w="48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г. Новошахтинск, ул. Молодогвардейцев, дом № 10-а</w:t>
            </w:r>
          </w:p>
        </w:tc>
        <w:tc>
          <w:tcPr>
            <w:tcW w:w="18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79,8 кв. м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26.</w:t>
            </w:r>
          </w:p>
        </w:tc>
        <w:tc>
          <w:tcPr>
            <w:tcW w:w="27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Здание цеха (литер П)</w:t>
            </w:r>
          </w:p>
        </w:tc>
        <w:tc>
          <w:tcPr>
            <w:tcW w:w="48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г. Новошахтинск, ул. Молодогвардейцев, дом № 10-а</w:t>
            </w:r>
          </w:p>
        </w:tc>
        <w:tc>
          <w:tcPr>
            <w:tcW w:w="18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134,3 кв. м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27.</w:t>
            </w:r>
          </w:p>
        </w:tc>
        <w:tc>
          <w:tcPr>
            <w:tcW w:w="27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Здание цеха (литер Т)</w:t>
            </w:r>
          </w:p>
        </w:tc>
        <w:tc>
          <w:tcPr>
            <w:tcW w:w="48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г. Новошахтинск, ул. Молодогвардейцев, дом № 10-а</w:t>
            </w:r>
          </w:p>
        </w:tc>
        <w:tc>
          <w:tcPr>
            <w:tcW w:w="18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183,6 кв. м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28.</w:t>
            </w:r>
          </w:p>
        </w:tc>
        <w:tc>
          <w:tcPr>
            <w:tcW w:w="27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>
                <w:rFonts w:ascii="Times New Roman;TimesDL" w:hAnsi="Times New Roman;TimesDL" w:cs="Times New Roman;TimesDL"/>
                <w:sz w:val="24"/>
                <w:szCs w:val="24"/>
              </w:rPr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Здание насосной</w:t>
            </w:r>
          </w:p>
        </w:tc>
        <w:tc>
          <w:tcPr>
            <w:tcW w:w="48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г. Новошахтинск, ул. Радио, № 84</w:t>
            </w:r>
          </w:p>
        </w:tc>
        <w:tc>
          <w:tcPr>
            <w:tcW w:w="18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numPr>
                <w:ilvl w:val="0"/>
                <w:numId w:val="0"/>
              </w:numPr>
              <w:ind w:hanging="0" w:end="43"/>
              <w:jc w:val="center"/>
              <w:outlineLvl w:val="1"/>
              <w:rPr/>
            </w:pPr>
            <w:r>
              <w:rPr>
                <w:rFonts w:cs="Times New Roman;TimesDL" w:ascii="Times New Roman;TimesDL" w:hAnsi="Times New Roman;TimesDL"/>
                <w:sz w:val="24"/>
                <w:szCs w:val="24"/>
              </w:rPr>
              <w:t>84,8 кв. м</w:t>
            </w:r>
          </w:p>
        </w:tc>
      </w:tr>
    </w:tbl>
    <w:p>
      <w:pPr>
        <w:pStyle w:val="ConsPlusNormal"/>
        <w:numPr>
          <w:ilvl w:val="0"/>
          <w:numId w:val="0"/>
        </w:numPr>
        <w:ind w:firstLine="720"/>
        <w:jc w:val="both"/>
        <w:outlineLvl w:val="1"/>
        <w:rPr>
          <w:rFonts w:ascii="Times New Roman;TimesDL" w:hAnsi="Times New Roman;TimesDL" w:cs="Times New Roman;TimesDL"/>
          <w:sz w:val="28"/>
          <w:szCs w:val="28"/>
        </w:rPr>
      </w:pPr>
      <w:r>
        <w:rPr>
          <w:rFonts w:cs="Times New Roman;TimesDL" w:ascii="Times New Roman;TimesDL" w:hAnsi="Times New Roman;TimesDL"/>
          <w:sz w:val="28"/>
          <w:szCs w:val="28"/>
        </w:rPr>
      </w:r>
    </w:p>
    <w:p>
      <w:pPr>
        <w:pStyle w:val="Normal"/>
        <w:tabs>
          <w:tab w:val="clear" w:pos="708"/>
          <w:tab w:val="left" w:pos="-3344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before="0" w:after="0"/>
        <w:ind w:start="-397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</w:t>
      </w:r>
    </w:p>
    <w:p>
      <w:pPr>
        <w:pStyle w:val="NormalWeb"/>
        <w:spacing w:before="0" w:after="0"/>
        <w:ind w:start="-397" w:end="-283"/>
        <w:rPr/>
      </w:pPr>
      <w:r>
        <w:rPr>
          <w:sz w:val="28"/>
          <w:szCs w:val="28"/>
        </w:rPr>
        <w:t>Администрации города</w:t>
        <w:tab/>
        <w:tab/>
        <w:tab/>
        <w:tab/>
        <w:tab/>
        <w:tab/>
        <w:tab/>
        <w:t xml:space="preserve">         Ю.А. Лубенцов</w:t>
      </w:r>
    </w:p>
    <w:p>
      <w:pPr>
        <w:pStyle w:val="NormalWeb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701" w:right="851" w:gutter="0" w:header="0" w:top="1134" w:footer="471" w:bottom="882"/>
      <w:pgNumType w:fmt="decimal"/>
      <w:formProt w:val="false"/>
      <w:textDirection w:val="lrTb"/>
      <w:docGrid w:type="default" w:linePitch="272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Times New Roman">
    <w:charset w:val="01" w:characterSet="utf-8"/>
    <w:family w:val="roman"/>
    <w:pitch w:val="variable"/>
  </w:font>
  <w:font w:name="Arial">
    <w:charset w:val="01" w:characterSet="utf-8"/>
    <w:family w:val="swiss"/>
    <w:pitch w:val="variable"/>
  </w:font>
  <w:font w:name="Tahoma">
    <w:charset w:val="01" w:characterSet="utf-8"/>
    <w:family w:val="swiss"/>
    <w:pitch w:val="variable"/>
  </w:font>
  <w:font w:name="Georgia"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  <w:font w:name="Consolas">
    <w:charset w:val="01" w:characterSet="utf-8"/>
    <w:family w:val="auto"/>
    <w:pitch w:val="variable"/>
  </w:font>
  <w:font w:name="Arial">
    <w:altName w:val="Times New Roman"/>
    <w:charset w:val="01" w:characterSet="utf-8"/>
    <w:family w:val="roman"/>
    <w:pitch w:val="variable"/>
  </w:font>
  <w:font w:name="Times New Roman">
    <w:altName w:val="TimesDL"/>
    <w:charset w:val="01" w:characterSet="utf-8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  <w:bookmarkStart w:id="0" w:name="_GoBack"/>
    <w:bookmarkStart w:id="1" w:name="_GoBack"/>
    <w:bookmarkEnd w:id="1"/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  <w:bookmarkStart w:id="2" w:name="_GoBack"/>
    <w:bookmarkStart w:id="3" w:name="_GoBack"/>
    <w:bookmarkEnd w:id="3"/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doNotHyphenateCaps/>
  <w:hyphenationZone w:val="425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67b5e"/>
    <w:pPr>
      <w:widowControl/>
      <w:suppressAutoHyphens w:val="fals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2478b3"/>
    <w:pPr>
      <w:keepNext w:val="true"/>
      <w:jc w:val="both"/>
      <w:outlineLvl w:val="0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rsid w:val="002478b3"/>
    <w:rPr>
      <w:rFonts w:ascii="Arial" w:hAnsi="Arial"/>
      <w:sz w:val="24"/>
    </w:rPr>
  </w:style>
  <w:style w:type="character" w:styleId="Style13" w:customStyle="1">
    <w:name w:val="Текст выноски Знак"/>
    <w:link w:val="BalloonText"/>
    <w:uiPriority w:val="99"/>
    <w:semiHidden/>
    <w:qFormat/>
    <w:rsid w:val="000920ac"/>
    <w:rPr>
      <w:rFonts w:ascii="Tahoma" w:hAnsi="Tahoma" w:cs="Tahoma"/>
      <w:sz w:val="16"/>
      <w:szCs w:val="16"/>
    </w:rPr>
  </w:style>
  <w:style w:type="character" w:styleId="WW8Num2z0" w:customStyle="1">
    <w:name w:val="WW8Num2z0"/>
    <w:qFormat/>
    <w:rPr/>
  </w:style>
  <w:style w:type="character" w:styleId="FontStyle50" w:customStyle="1">
    <w:name w:val="Font Style50"/>
    <w:qFormat/>
    <w:rPr>
      <w:rFonts w:ascii="Georgia" w:hAnsi="Georgia" w:cs="Georgia"/>
      <w:b/>
      <w:bCs/>
      <w:sz w:val="30"/>
      <w:szCs w:val="30"/>
    </w:rPr>
  </w:style>
  <w:style w:type="paragraph" w:styleId="Style14" w:customStyle="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IndexHeading">
    <w:name w:val="index heading"/>
    <w:basedOn w:val="Normal"/>
    <w:qFormat/>
    <w:pPr>
      <w:suppressLineNumbers/>
    </w:pPr>
    <w:rPr>
      <w:rFonts w:cs="Noto Sans"/>
    </w:rPr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0920ac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pPr>
      <w:spacing w:before="100" w:after="100"/>
    </w:pPr>
    <w:rPr>
      <w:sz w:val="24"/>
      <w:szCs w:val="24"/>
    </w:rPr>
  </w:style>
  <w:style w:type="paragraph" w:styleId="Style31" w:customStyle="1">
    <w:name w:val="Style3"/>
    <w:basedOn w:val="Normal"/>
    <w:qFormat/>
    <w:pPr>
      <w:widowControl w:val="false"/>
    </w:pPr>
    <w:rPr>
      <w:rFonts w:ascii="Consolas" w:hAnsi="Consolas" w:cs="Consolas"/>
      <w:sz w:val="24"/>
      <w:szCs w:val="24"/>
    </w:rPr>
  </w:style>
  <w:style w:type="paragraph" w:styleId="ConsPlusNormal" w:customStyle="1">
    <w:name w:val="ConsPlusNormal"/>
    <w:qFormat/>
    <w:pPr>
      <w:widowControl/>
      <w:suppressAutoHyphens w:val="true"/>
      <w:bidi w:val="0"/>
      <w:spacing w:before="0" w:after="0"/>
      <w:ind w:firstLine="720"/>
      <w:jc w:val="start"/>
    </w:pPr>
    <w:rPr>
      <w:rFonts w:ascii="Arial;Times New Roman" w:hAnsi="Arial;Times New Roman" w:eastAsia="Times New Roman;TimesDL" w:cs="Arial;Times New Roman"/>
      <w:color w:val="auto"/>
      <w:kern w:val="0"/>
      <w:sz w:val="20"/>
      <w:szCs w:val="20"/>
      <w:lang w:val="ru-RU" w:eastAsia="ru-RU" w:bidi="ar-SA"/>
    </w:rPr>
  </w:style>
  <w:style w:type="numbering" w:styleId="Style16" w:customStyle="1">
    <w:name w:val="Без списка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rsid w:val="002478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Application>LibreOffice/24.8.3.2$Linux_X86_64 LibreOffice_project/48a6bac9e7e268aeb4c3483fcf825c94556d9f92</Application>
  <AppVersion>15.0000</AppVersion>
  <Pages>9</Pages>
  <Words>580</Words>
  <Characters>3487</Characters>
  <CharactersWithSpaces>4086</CharactersWithSpaces>
  <Paragraphs>157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2025-01-16T16:58:44Z</dcterms:created>
  <dc:creator/>
  <dc:description/>
  <dc:language>ru-RU</dc:language>
  <cp:lastModifiedBy/>
  <cp:lastPrinted>2025-01-21T10:43:06Z</cp:lastPrinted>
  <dcterms:modified xsi:type="dcterms:W3CDTF">2025-01-21T10:43:37Z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