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C4" w:rsidRDefault="002733C4">
      <w:pPr>
        <w:spacing w:after="0" w:line="240" w:lineRule="auto"/>
        <w:rPr>
          <w:rFonts w:ascii="Times New Roman" w:hAnsi="Times New Roman"/>
          <w:sz w:val="24"/>
        </w:rPr>
      </w:pPr>
    </w:p>
    <w:p w:rsidR="002733C4" w:rsidRDefault="0048749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ИНФОРМАЦИЯ</w:t>
      </w:r>
    </w:p>
    <w:p w:rsidR="002733C4" w:rsidRDefault="004874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2733C4" w:rsidRDefault="004874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2733C4" w:rsidRDefault="004874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2733C4" w:rsidRDefault="00273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683"/>
        <w:gridCol w:w="4539"/>
      </w:tblGrid>
      <w:tr w:rsidR="002733C4" w:rsidTr="00327A64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3C4" w:rsidRDefault="0048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733C4" w:rsidRDefault="0048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3C4" w:rsidRDefault="0048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3C4" w:rsidRDefault="00487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</w:t>
            </w:r>
            <w:r>
              <w:rPr>
                <w:rFonts w:ascii="Times New Roman" w:hAnsi="Times New Roman"/>
                <w:sz w:val="24"/>
              </w:rPr>
              <w:lastRenderedPageBreak/>
              <w:t>месту жительства или месту пребывания на территории Ростовской области на дату заключения контракта;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 тыс. рублей гражданам, заключившим контракт о прохождении военной службы в войсках национальной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Ростовской области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>о порядке и условиях предоставления гражданам, заключившим контракт о прохождении военной службы в войсках национальной гвардии Российской Федерации, единовременной выплаты»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армии»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14.09.2022 № 755 «Об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</w:t>
            </w:r>
            <w:r>
              <w:rPr>
                <w:rFonts w:ascii="Times New Roman" w:hAnsi="Times New Roman"/>
                <w:sz w:val="24"/>
              </w:rPr>
              <w:lastRenderedPageBreak/>
              <w:t>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2733C4" w:rsidTr="00327A64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2733C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733C4" w:rsidRDefault="0048749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 w:rsidR="002733C4" w:rsidRDefault="00273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      </w:r>
          </w:p>
          <w:p w:rsidR="002733C4" w:rsidRDefault="00273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членам семей участников специальной военной операции адресной, </w:t>
            </w:r>
            <w:r>
              <w:rPr>
                <w:rFonts w:ascii="Times New Roman" w:hAnsi="Times New Roman"/>
                <w:sz w:val="24"/>
              </w:rPr>
              <w:lastRenderedPageBreak/>
              <w:t>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/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20.01.2012 № 24 (в редакции от 31.07.2023 № 543)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 w:rsidR="002733C4" w:rsidRDefault="0027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Социальное сопровождение семей участников специальной военной операции в части оказания юридической и </w:t>
            </w:r>
            <w:r>
              <w:rPr>
                <w:rFonts w:ascii="Times New Roman" w:hAnsi="Times New Roman"/>
                <w:sz w:val="24"/>
              </w:rPr>
              <w:lastRenderedPageBreak/>
              <w:t>социально-психологической помощи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Муниципальные нормативные правовые акты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от 23.12.2022 № 363»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 w:rsidR="002733C4" w:rsidTr="00327A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2733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C4" w:rsidRDefault="0048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 социальной поддержке членов семей лиц, принимающих участие в специальной военной операции»</w:t>
            </w:r>
          </w:p>
        </w:tc>
      </w:tr>
    </w:tbl>
    <w:p w:rsidR="002733C4" w:rsidRDefault="002733C4">
      <w:pPr>
        <w:spacing w:after="0" w:line="240" w:lineRule="auto"/>
        <w:rPr>
          <w:rFonts w:ascii="Times New Roman" w:hAnsi="Times New Roman"/>
          <w:sz w:val="28"/>
        </w:rPr>
      </w:pPr>
    </w:p>
    <w:sectPr w:rsidR="002733C4" w:rsidSect="00073943">
      <w:headerReference w:type="default" r:id="rId7"/>
      <w:pgSz w:w="11906" w:h="16838"/>
      <w:pgMar w:top="1134" w:right="851" w:bottom="1134" w:left="130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3E" w:rsidRDefault="00683A3E">
      <w:pPr>
        <w:spacing w:after="0" w:line="240" w:lineRule="auto"/>
      </w:pPr>
      <w:r>
        <w:separator/>
      </w:r>
    </w:p>
  </w:endnote>
  <w:endnote w:type="continuationSeparator" w:id="0">
    <w:p w:rsidR="00683A3E" w:rsidRDefault="0068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3E" w:rsidRDefault="00683A3E">
      <w:pPr>
        <w:spacing w:after="0" w:line="240" w:lineRule="auto"/>
      </w:pPr>
      <w:r>
        <w:separator/>
      </w:r>
    </w:p>
  </w:footnote>
  <w:footnote w:type="continuationSeparator" w:id="0">
    <w:p w:rsidR="00683A3E" w:rsidRDefault="0068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4" w:rsidRDefault="00073943">
    <w:pPr>
      <w:framePr w:wrap="around" w:vAnchor="text" w:hAnchor="margin" w:xAlign="center" w:y="1"/>
    </w:pPr>
    <w:r>
      <w:fldChar w:fldCharType="begin"/>
    </w:r>
    <w:r w:rsidR="00487491">
      <w:instrText xml:space="preserve">PAGE </w:instrText>
    </w:r>
    <w:r>
      <w:fldChar w:fldCharType="separate"/>
    </w:r>
    <w:r w:rsidR="00A26A30">
      <w:rPr>
        <w:noProof/>
      </w:rPr>
      <w:t>2</w:t>
    </w:r>
    <w:r>
      <w:fldChar w:fldCharType="end"/>
    </w:r>
  </w:p>
  <w:p w:rsidR="002733C4" w:rsidRDefault="002733C4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62A2"/>
    <w:multiLevelType w:val="multilevel"/>
    <w:tmpl w:val="57A23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3C4"/>
    <w:rsid w:val="00073943"/>
    <w:rsid w:val="00235AF1"/>
    <w:rsid w:val="002733C4"/>
    <w:rsid w:val="00327A64"/>
    <w:rsid w:val="00487491"/>
    <w:rsid w:val="00683A3E"/>
    <w:rsid w:val="00A26A30"/>
    <w:rsid w:val="00F3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3943"/>
  </w:style>
  <w:style w:type="paragraph" w:styleId="10">
    <w:name w:val="heading 1"/>
    <w:next w:val="a"/>
    <w:link w:val="11"/>
    <w:uiPriority w:val="9"/>
    <w:qFormat/>
    <w:rsid w:val="0007394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394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394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394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394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3943"/>
  </w:style>
  <w:style w:type="paragraph" w:styleId="21">
    <w:name w:val="toc 2"/>
    <w:next w:val="a"/>
    <w:link w:val="22"/>
    <w:uiPriority w:val="39"/>
    <w:rsid w:val="000739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39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39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39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39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39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394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3943"/>
    <w:rPr>
      <w:rFonts w:ascii="XO Thames" w:hAnsi="XO Thames"/>
      <w:sz w:val="28"/>
    </w:rPr>
  </w:style>
  <w:style w:type="paragraph" w:styleId="a3">
    <w:name w:val="header"/>
    <w:basedOn w:val="a"/>
    <w:link w:val="a4"/>
    <w:rsid w:val="000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073943"/>
  </w:style>
  <w:style w:type="paragraph" w:customStyle="1" w:styleId="Endnote">
    <w:name w:val="Endnote"/>
    <w:link w:val="Endnote0"/>
    <w:rsid w:val="0007394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07394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7394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073943"/>
  </w:style>
  <w:style w:type="paragraph" w:styleId="31">
    <w:name w:val="toc 3"/>
    <w:next w:val="a"/>
    <w:link w:val="32"/>
    <w:uiPriority w:val="39"/>
    <w:rsid w:val="0007394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3943"/>
    <w:rPr>
      <w:rFonts w:ascii="XO Thames" w:hAnsi="XO Thames"/>
      <w:sz w:val="28"/>
    </w:rPr>
  </w:style>
  <w:style w:type="paragraph" w:styleId="a5">
    <w:name w:val="footer"/>
    <w:basedOn w:val="a"/>
    <w:link w:val="a6"/>
    <w:rsid w:val="000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073943"/>
  </w:style>
  <w:style w:type="character" w:customStyle="1" w:styleId="50">
    <w:name w:val="Заголовок 5 Знак"/>
    <w:link w:val="5"/>
    <w:rsid w:val="00073943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073943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073943"/>
  </w:style>
  <w:style w:type="character" w:customStyle="1" w:styleId="11">
    <w:name w:val="Заголовок 1 Знак"/>
    <w:link w:val="10"/>
    <w:rsid w:val="00073943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073943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073943"/>
    <w:rPr>
      <w:rFonts w:ascii="Tahoma" w:hAnsi="Tahoma"/>
      <w:sz w:val="16"/>
    </w:rPr>
  </w:style>
  <w:style w:type="paragraph" w:customStyle="1" w:styleId="13">
    <w:name w:val="Гиперссылка1"/>
    <w:link w:val="ab"/>
    <w:rsid w:val="00073943"/>
    <w:rPr>
      <w:color w:val="0000FF"/>
      <w:u w:val="single"/>
    </w:rPr>
  </w:style>
  <w:style w:type="character" w:styleId="ab">
    <w:name w:val="Hyperlink"/>
    <w:link w:val="13"/>
    <w:rsid w:val="00073943"/>
    <w:rPr>
      <w:color w:val="0000FF"/>
      <w:u w:val="single"/>
    </w:rPr>
  </w:style>
  <w:style w:type="paragraph" w:customStyle="1" w:styleId="Footnote">
    <w:name w:val="Footnote"/>
    <w:link w:val="Footnote0"/>
    <w:rsid w:val="0007394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7394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7394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739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7394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39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7394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394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739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394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7394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3943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073943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73943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07394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739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394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3943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0739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07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0739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IRONMANN (AKA SHAMAN)</cp:lastModifiedBy>
  <cp:revision>2</cp:revision>
  <dcterms:created xsi:type="dcterms:W3CDTF">2024-02-29T14:36:00Z</dcterms:created>
  <dcterms:modified xsi:type="dcterms:W3CDTF">2024-02-29T14:36:00Z</dcterms:modified>
</cp:coreProperties>
</file>