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</w:rPr>
      </w:pPr>
      <w:r>
        <w:rPr>
          <w:sz w:val="28"/>
        </w:rPr>
        <w:t xml:space="preserve">План мероприятий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(«дорожная карта») по росту благосостояния населения и снижению уровня бедности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до 2030 года в  городе Новошахтинске за 2024 год </w:t>
      </w:r>
    </w:p>
    <w:tbl>
      <w:tblPr>
        <w:tblW w:w="15471" w:type="dxa"/>
        <w:jc w:val="left"/>
        <w:tblInd w:w="-62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08"/>
        <w:gridCol w:w="2692"/>
        <w:gridCol w:w="1842"/>
        <w:gridCol w:w="1360"/>
        <w:gridCol w:w="3320"/>
        <w:gridCol w:w="5348"/>
      </w:tblGrid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Ожидаемый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результат/документ,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подтверждающий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мероприятия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(годы)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исполнитель/  соисполнитель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ресурсного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обеспечения на период</w:t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 (при наличии)</w:t>
            </w:r>
            <w:r>
              <w:rPr>
                <w:rStyle w:val="FootnoteReference"/>
                <w:sz w:val="22"/>
                <w:szCs w:val="22"/>
                <w:vertAlign w:val="superscript"/>
              </w:rPr>
              <w:footnoteReference w:id="2"/>
            </w:r>
          </w:p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>
        <w:trPr>
          <w:trHeight w:val="258" w:hRule="atLeast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5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1. Повышение уровня доходов граждан и обеспечение превышения темпов роста средней заработной платы не ниже роста инфляции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55" w:leader="none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индексации заработной платы работников бюджетной сферы на уровень инфляции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доходов работающего населения / постановление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труду Администрации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отраслевые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(функциональные) органы Администрации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учреждения 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Постановлением Администрации города Новошахтинска от 30.07.2024 № 844 «</w:t>
            </w:r>
            <w:r>
              <w:rPr>
                <w:bCs/>
                <w:color w:val="000000"/>
                <w:sz w:val="22"/>
                <w:szCs w:val="22"/>
              </w:rPr>
              <w:t>Об увеличении (индексации) должностных окладов, ставок заработной платы работников муниципальных учреждений города Новошахтинска, технического и обслуживающего персонала органов местного самоуправления города Новошахтинска»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с 01.10.2024 должностные оклады (ставки заработной платы) работников муниципальных учреждений проиндексированы в 1,045 раза. В связи с изменением размера индексации с 01.10.2024 в 1,051 раза, принято постановление Администрации города от 15.11.2024  № 1261 «О внесении изменения в поста-новление Администрации города от 30.07.2024 № 844».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минимального уровня оплаты труда работников бюджетной сферы не ниже установленного законодательством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доходов работающего населения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труду Администрации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отраслевые (функциональные) органы Администра-ции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учреждения 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постановлением Администрации города  Новошахтинска от 30.11.2023  № 1294 «О минимальном размере оплаты труда», с 01.01.2024 для работников Администрации города, отраслевых (функциональных) органов Администрации города, муниципальных учреждений города установлен минимальный размер оплаты труда в размере  19 242 руб.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показателей уровня погашения задолженности по невыплате заработной платы перед работниками организаций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случае возникновения задолженности)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труду Администрации города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информации отдела государственной статистики в г. Шахты (представительство в                    г. Новошахтинске)  Ростовстата, сведения о наличии просроченной задолженности по заработной плате в течение 2024 года не представлялись.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максимального охвата предприятий, организаций и индивидуальных предпринимателей по присоединению к област-ному трехстороннему (региональному) соглашению  между 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трехлетний период (далее – Соглашение)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организаций и предприятий, индивидуальных предпринимателей, присоединившихся к Соглашению, увеличение объема гарантий, предоставляемых работникам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структурные подразделения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итогам  2024 года к областному трехстороннему (региональному) соглашению  между 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2023-2025 годы (далее – Соглашение), присоединилось 104 организации и 7 индивидуальных предпринимателей. Охват организаций, присоединившихся к Соглашению, в общем количестве действующих организаций, составил 65,8%.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мероприятий, направленных на сокращение неформально занятых граждан и легализацию «теневой заработной платы»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легализация заработной платы и снижение неформальной занятости граждан трудоспособного возраста, занятых в теневом секторе экономики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труду  Администрации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предпринимательства и инвестиций Администрации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по вопросам потребительского рынка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мероприятий по снижению уровня неформальной занятости утвержден «План мероприятий по снижению уровня неформальной занятости и легализации трудовых отношений по муниципальному образованию «Город Новошахтинск» на 2022-2024 годы».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целях исполнения плана в 2024 году проведены следующие мероприятия: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официальном сайте Администрации города, на страницах официальных аккаунтов в социальных сетях Администрации города (Одноклассники, Вконтакте, Телеграмм), в городской общественно-политической газете «Знамя шахтера» размешены и опубликованы 32 публикации;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эфире МБУ «ТелеРадоКом-пания «Несветай» города Новошахтинска, а также в социальной сети Вконтаке, Одноклассники проводилась периодическая трансляция информационного ролика, созданного в целях формирования отрицательного отношения к нелегальному трудоустройству и получению заработной платы «в конверте» у населения;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- 19 февраля, 18 марта, 13 и 25 мая, 05 сентября, 15 ноября, 6 декабря 2024 года в Администрации города организованы личные приемы граждан по вопросам неформальной занятости и защиты интересов граждан в сфере трудовых отношений;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целях информирования работодателей и жителей города, Администрацией города разработана информационная памятка - брошюра о последствиях неформальной занятости. Памятки размещены для распространения в количестве 480 штук, в том числе в УСЗН г. Новошахтинска, ГКУ РО «Центр занятости населения города Новошахтинска», МБУ                                г. Новошахтинска «МФЦ», на стендах Администрации города;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организована работа телефона «горячей линии» по вопросам легализации трудовых отношений и выплаты заработной платы, оказано порядка 40 консультаций по вопросам трудового законодательства;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- 05.06.2024 проведен мониторинг хозяйственной деятельности предприятий легкой промышленности города, в результате которого выявлены швейные цеха, осуществляющие деятельность на территории города, в которых предположительно работают от 15 до 50 человек.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юридических лиц и индивидуальных предпринимателей  рассмотрена  на заседании городской межведомственной комиссии по обеспечению своевременной выплаты заработной платы и координации деятельности по снижению неформальной занятости.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13.06.2024 и 01.07.2024 информация направлена в Межрайонную ИФНС России № 12 по Ростовской области для проведения контрольных мероприятий и принятию мер по снижению неформальной занятости и легализации трудовых отношений.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25.11.2024 информация направлена в межведомственную комиссию по противодействию нелегальной занятости в Ростовской области.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декабре 2024 года проведен анализ организаций, исключенных налоговой службой из Единого реестра субъектов малого и среднего предпринимательства (ЕРСМП), хозяйствующие субъекты проинформиро-ваны об их исключении из ЕРСМП, а так же о принятии необходимых мер по включению организаций в реестр.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неформальной занятости рассмотрены на заседаниях  МВК и заседаниях рабочей группы по противодействию нелегальной занятости в городе Новошахтинске (далее – рабочая группа). В 2024 году проведено 8 заседаний городской МВК и 3 заседания рабочей группы.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целях снижения неформальной занятости, легализации трудовых отношений и повышению поступлений страховых взносов в Пенсионный фонд Российской Федерации в муниципальном образовании «Город Новошахтинск» в 2024 году выявлено 870 чел., с которыми заключены трудовые договоры, а также 3 индивидуальных предпринимателя и 9 самозанятых.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выявленных работниках, с которыми заключены трудовые отношения за соответствующий период, ежемесячно направлялись в министерство труда и социального развития Ростовской области и в территориальное отделение социального фонда России.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сохранения соотношения средней заработной платы отдельных категорий работников, установленного указами Президента Российской Федерации от 07.05.2012 № 597 «О мероприятиях по реализации государственной социальной политики», от 01.06.2012 № 761 «О Национальной стратегии действий в интересах детей на 2012 – 2017 годы», с показателем «среднемесячная начисленная заработная плата наемных работников в организациях, у индивидуальных предприни-мателей и физических лиц (среднемесячный доход от трудовой деятельности)»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Ростовской области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заработной платы работников бюджетного сектора экономики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труду Администрации города;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города Новошахтинска;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культуры и спорта Администрации города Новошахтинска;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бюджетное учреждение «Центр социального обслуживания граждан пожилого возраста и инвалидов города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1"/>
              <w:spacing w:before="0" w:after="0"/>
              <w:ind w:firstLine="369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В муниципальном образовании «Город Новошахтинск» ежемесячно осуществляется мониторинг и контроль за сохранением достигнутого соотношения уровня оплаты труда отдельных категорий работников бюджетной сферы, определённых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2012 - 2017 годы», от среднемесячной начисленной заработной платы наёмных работников по Ростовской области.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Среднемесячная заработная плата работников муниципальных учреждений за январь-декабрь 2024 года составила в учреждениях: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- образования: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педагогические работники учреждений общего образования (с выплатами за классное руководство учителям) –       46 648,24 руб. (103,31%);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педагогические работники учреждений дошкольного образования – 41 507,64 руб. (101,94%);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педагогические работники учреждений дополнительного образования детей (по учреждениям, подведомственным Управлению образования Администрации города) – 48 585,25 руб. (104,0%);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педагогические работники учреждений дополнительного образования детей (по учреждениям, подведомственным Отделу культуры и спорта Администрации города) – 47 129,23 руб. (100,0%);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культуры – 45 308,3 руб. (100,3%);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социального обслуживания: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средний медицинский персонал – 45 151,79 руб. (100%);</w:t>
            </w:r>
          </w:p>
          <w:p>
            <w:pPr>
              <w:pStyle w:val="Heading1"/>
              <w:spacing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младший медицинский персонал – 45 151,67 руб. (100%);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работники – 46 506,39 руб. (103,0%).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ярмарок вакансий и учебных рабочих мест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ярмарок вакансий и учебных рабочих мест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казенное учреждение Ростовской области «Центр занятости населения города Новошахтинска» (далее – ГКУ РО «Центр занятости населения г. Новошахтинска»)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auto"/>
                <w:sz w:val="22"/>
                <w:szCs w:val="24"/>
              </w:rPr>
            </w:pPr>
            <w:r>
              <w:rPr>
                <w:sz w:val="22"/>
                <w:szCs w:val="22"/>
              </w:rPr>
              <w:t xml:space="preserve">В 2024 год организовано и проведено 18 ярмарок вакансий, </w:t>
            </w:r>
            <w:r>
              <w:rPr>
                <w:color w:val="auto"/>
                <w:sz w:val="22"/>
                <w:szCs w:val="24"/>
              </w:rPr>
              <w:t xml:space="preserve">в том числе: для женщин, воспитывающих несовершеннолетних детей; для инвалидов; для несовершеннолетних граждан в возрасте от 14 до 18 лет; для граждан предпенсионного возраста, </w:t>
            </w:r>
            <w:r>
              <w:rPr>
                <w:sz w:val="22"/>
                <w:szCs w:val="22"/>
              </w:rPr>
              <w:t>с приглашением организаций</w:t>
            </w:r>
            <w:r>
              <w:rPr>
                <w:color w:val="auto"/>
                <w:sz w:val="22"/>
                <w:szCs w:val="24"/>
              </w:rPr>
              <w:t>: ООО «Редакция газеты Знамя Шахтера», АО «Корпорация «Глория Джинс», ООО «ШахтаСтрой», АО «Рыбокомбинат Донской», ООО «Новошахтинский трубный завод», ГКУСО РО «Новошах-тинский центр помощи детям», МАДОУ ЦРР д/с № 1 «Глория», МБОУ СОШ №24, НТПТ-ф ГБПОУ РО «ШРКТЭ»,  ООО МП «Автомобильный транс-порт», МП «ККТС» и др.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 мероприятиях приняли участие 587 человек и 61 работодатель</w:t>
            </w:r>
            <w:r>
              <w:rPr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 высшее образование и ищущих работу в течение года с даты выдачи им документа об образовании и о квалификации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временного трудоустройства несовер-шеннолетних граждан в возрасте от 14 до 18 лет в свободное от учебы время, безработных граждан, испытывающих трудности в поиске работы, безработных граждан в возрасте от 18 до 25 лет, имеющих среднее профес-сиональное образование или высшее образование и ищущих работу в течение года с даты выдачи им документа об образов</w:t>
            </w:r>
            <w:r>
              <w:rPr>
                <w:spacing w:val="-20"/>
                <w:sz w:val="22"/>
                <w:szCs w:val="22"/>
              </w:rPr>
              <w:t>ании</w:t>
            </w:r>
            <w:r>
              <w:rPr>
                <w:sz w:val="22"/>
                <w:szCs w:val="22"/>
              </w:rPr>
              <w:t xml:space="preserve"> и о квали</w:t>
            </w:r>
            <w:r>
              <w:rPr>
                <w:spacing w:val="-20"/>
                <w:sz w:val="22"/>
                <w:szCs w:val="22"/>
              </w:rPr>
              <w:t>фикации,</w:t>
            </w:r>
            <w:r>
              <w:rPr>
                <w:sz w:val="22"/>
                <w:szCs w:val="22"/>
              </w:rPr>
              <w:t xml:space="preserve"> 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2024 году заключено  69 договоров и трудоустроено 438 подростков, в том числе </w:t>
            </w:r>
            <w:r>
              <w:rPr>
                <w:sz w:val="22"/>
                <w:szCs w:val="22"/>
              </w:rPr>
              <w:t>139 чел. за счет средств бюджета города</w:t>
            </w:r>
            <w:r>
              <w:rPr>
                <w:spacing w:val="-4"/>
                <w:sz w:val="22"/>
                <w:szCs w:val="22"/>
              </w:rPr>
              <w:t xml:space="preserve"> на предприятия:  ООО МП «Автомобильный транспорт», ГБОУ РО    «Новошахтинская школа-интернат»,  АО «Корпорация «Глория Джинс»,  ГБУ РО «ДГБ» в г.Новошахтинске, ООО «УМГ» и др.</w:t>
            </w:r>
            <w:r>
              <w:rPr>
                <w:sz w:val="22"/>
                <w:szCs w:val="22"/>
              </w:rPr>
              <w:t>;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color w:val="auto"/>
                <w:spacing w:val="-4"/>
                <w:sz w:val="22"/>
                <w:szCs w:val="24"/>
                <w:lang w:eastAsia="en-US"/>
              </w:rPr>
              <w:t>трудоустроено 22 безработных гражданина, испытыва-ющих трудности в поиске работы,</w:t>
            </w:r>
            <w:r>
              <w:rPr>
                <w:rFonts w:eastAsia="Calibri"/>
                <w:color w:val="auto"/>
                <w:spacing w:val="-4"/>
                <w:sz w:val="22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auto"/>
                <w:spacing w:val="-4"/>
                <w:sz w:val="22"/>
                <w:szCs w:val="24"/>
                <w:lang w:eastAsia="en-US"/>
              </w:rPr>
              <w:t xml:space="preserve">в том числе по категориям: 6 инвалидов,  7 одиноких родителей, 1 многодетный родитель, 10 граждан предпенсионного возраста; </w:t>
            </w:r>
            <w:r>
              <w:rPr>
                <w:sz w:val="22"/>
                <w:szCs w:val="24"/>
              </w:rPr>
              <w:t>организовано временное трудоустройство для  3-х безработных граждан в возрасте от 18 до 25 лет в ГБУ РО «ЦГБ» в г. Новошахтинске, МАДОУ ЦРР д/с №1 «Глория»</w:t>
            </w:r>
            <w:r>
              <w:rPr>
                <w:sz w:val="22"/>
                <w:szCs w:val="22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профессионального обучения и дополнительного профессионального образования безработных граждан,</w:t>
            </w:r>
          </w:p>
          <w:p>
            <w:pPr>
              <w:pStyle w:val="Normal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включая обучение в другой местности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профессио-нального обучения и дополнительного профессионального образования безработных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В 2024 году прошли профессиональное обучение и получили дополнительное профессиональное образование по востребованным профессиям и специальностям 30 безработных гражданина. Обучение организовано по следующим образовательным программам: водитель погрузчика, оператор пульта управления, охранник, оператор котельной и др. Трудоустроено 26 чел.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профессионального обучения и дополнительного профессионального образования женщин в период отпуска по уходу за ребенком до достижения им возраста трех лет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профессио-нального обучения и дополнительного профессионального образования для женщин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2"/>
                <w:szCs w:val="22"/>
              </w:rPr>
              <w:t>В 2024 году профессиональное обучение и дополнительное профессиональное образование женщин, в период отпуска по уходу за ребенком до достижения им возраста 3 лет (далее - женщины) проходило в рамках федерального проекта «Демо-графия».  Обучение прошли 5 женщин.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Организация профессионального обучения и дополнительного профессионального образования незанятых граждан, которым в 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для пенсионеров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Услуга в отчетном периоде не оказывалась</w:t>
            </w:r>
            <w:r>
              <w:rPr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безработным гражданам и гражданам, зарегистрированным в центре занятости в целях поиска подходящей работы, в переезде и безработным гражданам и гражданам, зарегистрированным в центре занятости в целях поиска подходящей работы, и членам их семей в переселении в другую местность для трудоустройства по направлению центра занятости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безработным гражданам и гражданам, зарегистрированным в центре занятости в целях поиска подходящей работы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fill="FFFFFF"/>
              <w:ind w:hanging="0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2"/>
                <w:szCs w:val="24"/>
              </w:rPr>
              <w:t xml:space="preserve">По программе «Содействие безработным гражданам в переезде в другую местность для трудоустройства по направлению органов службы занятости» за 2024 год трудоустроено 4 человека. </w:t>
            </w:r>
            <w:r>
              <w:rPr>
                <w:color w:val="auto"/>
                <w:spacing w:val="-4"/>
                <w:sz w:val="22"/>
                <w:szCs w:val="24"/>
              </w:rPr>
              <w:t>Переезд был осуществлен в     г. Ростов-на-Дону (2чел.), Красносулинский и Родионово - Несветайский районы</w:t>
            </w:r>
            <w:r>
              <w:rPr>
                <w:color w:val="auto"/>
                <w:spacing w:val="-4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Организация опережающего профессионального обучения и дополнительного профессиональ-ного образования работников организаций, находящихся под риском увольнения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занятости</w:t>
            </w:r>
          </w:p>
          <w:p>
            <w:pPr>
              <w:pStyle w:val="Normal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работникам, находящимся под риском увольнения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Услуга в отчетном периоде не оказывалась</w:t>
            </w:r>
            <w:r>
              <w:rPr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наставничества при трудоустройстве молодых специалистов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наставничества при трудоустройстве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молодых специалистов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2"/>
                <w:szCs w:val="24"/>
              </w:rPr>
              <w:t xml:space="preserve">В целях приобретения молодыми специалистами профессионального опыта и практических навыков работы  ГКУ РО «Центр занятости населения города Новошахтинска» в рамках реализации программы «Организация наставничества при трудоустройстве молодого специалиста» </w:t>
            </w:r>
            <w:r>
              <w:rPr>
                <w:sz w:val="22"/>
                <w:szCs w:val="24"/>
                <w:shd w:fill="auto" w:val="clear"/>
              </w:rPr>
              <w:t>трудоустроено</w:t>
            </w:r>
            <w:r>
              <w:rPr>
                <w:sz w:val="22"/>
                <w:szCs w:val="24"/>
                <w:shd w:fill="FFFFFF" w:val="clear"/>
              </w:rPr>
              <w:t xml:space="preserve"> 2 молодых специалиста в МКУ города Новошахтинска «Управление городского хозяйства», ГБУ РО «Центральная городская больница» в                                      г. Новошахтинске.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профессионального обучения и дополнительного профессионального образования отдельных категорий граждан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федерального проекта «Содействие занятости» национального проекта «Демография»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trike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приобретение или развитие гражданами имеющихся знаний, компетенций и навыков в целях занятости/отчет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2024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федерального проекта «Содействие занятости» национального проекта «Демография» к профессиональному обучению и  дополнительному профессиональному образованию приступили 79 человек, из них обучение  завершили — 64 чел.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оплачиваемых общественных работ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оплачиваемых общественных работ для безработных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2024 год трудоустроено на общественные работы 98 человек в организации</w:t>
            </w:r>
            <w:r>
              <w:rPr>
                <w:color w:val="auto"/>
                <w:sz w:val="22"/>
                <w:szCs w:val="22"/>
              </w:rPr>
              <w:t xml:space="preserve"> города: ООО «Редакция газеты «Знамя шахтера», МБУДО «Детская музыкальная школа» города </w:t>
            </w:r>
            <w:r>
              <w:rPr>
                <w:sz w:val="22"/>
                <w:szCs w:val="22"/>
              </w:rPr>
              <w:t>Новошахтинска, ООО МП «АТ», МБДОУ д/с №5 города Новошахтинскаи др.</w:t>
            </w:r>
          </w:p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Выполнены работы по благоустройству и уборке территории, озеленение и облагораживание зон отдыха,  дост</w:t>
            </w:r>
            <w:r>
              <w:rPr>
                <w:rFonts w:cs="Times New Roman"/>
                <w:b w:val="false"/>
                <w:color w:val="auto"/>
                <w:sz w:val="22"/>
                <w:szCs w:val="22"/>
              </w:rPr>
              <w:t>авка и распространение  газет и печатной продукции, подсобные работы на производстве.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профессио-нальной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 для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Государственную услугу по организации профессиональной ориентации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получили 1400 человек</w:t>
            </w:r>
            <w:r>
              <w:rPr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психологическая поддержка безработных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Государственную услугу по психологической поддержке безработных получили 93 человека</w:t>
            </w:r>
            <w:r>
              <w:rPr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адаптация безработных граждан на рынке труда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адаптация безработных граждан на рынке труда 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Государственную услугу по социальной адаптации безработных получили 112 человек</w:t>
            </w:r>
            <w:r>
              <w:rPr>
                <w:sz w:val="24"/>
                <w:szCs w:val="24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сопровождения при содействии занятости инвалидов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сопровождения при содействии занятости инвалидов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auto"/>
                <w:spacing w:val="-4"/>
                <w:sz w:val="22"/>
                <w:szCs w:val="28"/>
              </w:rPr>
            </w:pPr>
            <w:r>
              <w:rPr>
                <w:sz w:val="22"/>
                <w:szCs w:val="22"/>
              </w:rPr>
              <w:t>Оказана услуга по организации сопровождения при содействии занятости 1 инвалиду,</w:t>
            </w:r>
            <w:r>
              <w:rPr>
                <w:color w:val="auto"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который</w:t>
            </w:r>
            <w:r>
              <w:rPr>
                <w:color w:val="auto"/>
                <w:spacing w:val="-4"/>
                <w:sz w:val="28"/>
                <w:szCs w:val="28"/>
              </w:rPr>
              <w:t xml:space="preserve"> </w:t>
            </w:r>
            <w:r>
              <w:rPr>
                <w:color w:val="auto"/>
                <w:spacing w:val="-4"/>
                <w:sz w:val="22"/>
                <w:szCs w:val="28"/>
              </w:rPr>
              <w:t>трудоустроен в ООО «Новороссийский прокатный завод».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государственной услуги «Содействие началу осуществления предпринима-тельской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прошедшими профессиональное обучение или получившим дополнительное профессиональное образование по направлению центра занятости, единовременной финансовой помощи при государственной регистрации в качестве индиви-дуального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содействия самозанятости для безработных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ГКУ РО «Центр занятости населения г. Новошахтинска»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государственная услуга «Содействие самозанятости»  для безработных граждан  оказана 26 получателям, из которых 13 - открыли собственное дело.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Задача 2. Создание условий для устойчивого экономического роста в целях улучшения благосостояния населения</w:t>
            </w:r>
          </w:p>
        </w:tc>
      </w:tr>
      <w:tr>
        <w:trPr>
          <w:trHeight w:val="3000" w:hRule="atLeast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Предоставление оперативной информации инвестору о финансовых продуктах фондов поддержки инвесторов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5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стимулирование</w:t>
            </w:r>
          </w:p>
          <w:p>
            <w:pPr>
              <w:pStyle w:val="Normal"/>
              <w:suppressAutoHyphens w:val="true"/>
              <w:ind w:left="85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инвестиционной активности</w:t>
            </w:r>
          </w:p>
          <w:p>
            <w:pPr>
              <w:pStyle w:val="Normal"/>
              <w:suppressAutoHyphens w:val="true"/>
              <w:ind w:left="85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предприятий / информация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2023 − 2030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Сектор  развития предпринимательства и инвестиций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На официальном сайте Администрации города в сети Интернет размещены актуальные меры поддержки для инвестора.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За 2024 год оказана консультационная поддержка 18 предпринимателям и инициаторам инвестиционных проектов, проведено 12 адресных рабочих встреч с инициаторами проектов.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Ежеквартально актуализируется информация по трем инвестиционным площадкам города, размещенным на инвестиционной карте Ростовской области. Кроме того, актуализированы сведения обо всех инвестиционных площадках города и обновлен реестр инвестиционных предложений.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Разработана и опубликована на официальном сайте Администрации города в сети «Интернет» интерактивная карта инвестиционных площадок города.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Модернизация механизма сопровождения инвестиционных проектов (механизм обратной связи)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организация работы</w:t>
            </w:r>
          </w:p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 инвесторами по реализации</w:t>
            </w:r>
          </w:p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инвестиционных проектов / информация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2023 − 2030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Работа с инвесторами в рамках сопровождения инвестиционных проектов осуществляется в форме оказания информационно-консультационного и адресного организационного содействия инвестору.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Разработано и принято постановление Администрации города от 19.01.2024 № 20 «О реализации инвестиционной деятельности на территории города Новошахтинска», утверждающее </w:t>
            </w:r>
            <w:r>
              <w:rPr>
                <w:sz w:val="22"/>
                <w:szCs w:val="22"/>
              </w:rPr>
              <w:t>порядок сопровождения инвестиционных проектов.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За 2024 год проведено 12 заседаний Совета по инвестициям при Администрации города Новошахтинска. По итогам заседаний рассмотрено 32 вопроса и сформировано 69 поручений. Мониторинг реализации инвестиционных проектов осуществляется путем их включения в реестр инвестиционных проектов города с последующим сопровождением. Проведены выездные мониторинги реализации 20 инвестиционных проектов.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По итогам года,  в реестр инвестиционных проектов Ростовской области, реализующих на территории города инвестиционную деятельность, включены 35 проектов с совокупным объемом инвестиций 1 384,12 млн. руб.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16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</w:rPr>
              <w:t>Оказание информационно-консультационных и образовательных услуг в офлайн и онлайн форматах гражданам, желающим вести бизнес, начинающим и действующим предпринимателям,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гражданам, желающим вести бизнес, начинающим</w:t>
            </w:r>
          </w:p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 действующим предпринимателям предоставлены информационно-консультационные и образовательные услуги / информация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2023 − 2030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Сектор развития предпринимательства и инвестиций Администрации города;</w:t>
            </w:r>
          </w:p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сектор по вопросам потребительского рынка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pacing w:val="-2"/>
                <w:kern w:val="2"/>
                <w:sz w:val="22"/>
                <w:szCs w:val="22"/>
              </w:rPr>
              <w:t>Сведения об оказываемой информационно-консультаци-онной поддержке ежемесячно вносятся в Реестр субъектов МСП - получателей поддержки ФНС России. По состоянию на 29.12.2024 структурными подразделениями Администрации города оказана консультационная и информационная поддержка 361 субъекту МСП.</w:t>
            </w:r>
          </w:p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pacing w:val="-2"/>
                <w:kern w:val="2"/>
                <w:sz w:val="22"/>
                <w:szCs w:val="22"/>
              </w:rPr>
              <w:t>В течение 2024 года структурными подразделениями Администрацией города проведено 151 мероприятие (с участием более 1875 СМСП) в области развития предпринимательской деятельности.</w:t>
            </w:r>
          </w:p>
          <w:p>
            <w:pPr>
              <w:pStyle w:val="Normal"/>
              <w:suppressAutoHyphens w:val="true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Бизнес-сообщество города Новошахтинска приняло участие в 25 обучающих онлайн-мероприятиях по потребительскому законодательству, вопросам маркировки товаров, развитию бизнеса, ведению бизнеса в современных условиях</w:t>
            </w:r>
            <w:r>
              <w:rPr>
                <w:rFonts w:eastAsia="Calibri"/>
                <w:sz w:val="22"/>
                <w:szCs w:val="22"/>
                <w:lang w:eastAsia="ar-SA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регулярных информационных кампаний с целью доведения информации до субъектов МСП, </w:t>
            </w:r>
            <w:r>
              <w:rPr>
                <w:rFonts w:eastAsia="Calibri"/>
                <w:sz w:val="22"/>
                <w:szCs w:val="22"/>
              </w:rPr>
              <w:t xml:space="preserve">физических лиц, не являющихся индивидуальными предпринимателями и применяю-щих специальный налоговый режим «Налог на профессиональный доход», </w:t>
            </w:r>
            <w:r>
              <w:rPr>
                <w:sz w:val="22"/>
                <w:szCs w:val="22"/>
              </w:rPr>
              <w:t>о льготной кредитно-гарантийной поддержке, в том числе по программам федеральных министерств, АО «Корпорация МСП», НКО «Гарантийный фонд РО», АНОМК «Ростовское региональное агентство поддержки предпринимательства», АО «Региональная лизинговая компания», НО МКК «НМФПМП», по программам поддержки АПК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субъектам МСП, физическим лицам, не являющимися индивидуальными предпринимателями и применяющими специальный налоговый режим «Налог на профессиональный доход» предоставлены информационные</w:t>
            </w:r>
          </w:p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услуги о </w:t>
            </w:r>
            <w:r>
              <w:rPr>
                <w:sz w:val="22"/>
                <w:szCs w:val="22"/>
              </w:rPr>
              <w:t xml:space="preserve">льготной кредитно-гарантийной поддержке </w:t>
            </w:r>
            <w:r>
              <w:rPr>
                <w:rFonts w:eastAsia="Calibri"/>
                <w:sz w:val="22"/>
                <w:szCs w:val="22"/>
                <w:lang w:eastAsia="ar-SA"/>
              </w:rPr>
              <w:t>/ информация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2023 − 2030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pacing w:val="-2"/>
                <w:kern w:val="2"/>
                <w:sz w:val="22"/>
                <w:szCs w:val="22"/>
              </w:rPr>
            </w:pPr>
            <w:r>
              <w:rPr>
                <w:spacing w:val="-2"/>
                <w:kern w:val="2"/>
                <w:sz w:val="22"/>
                <w:szCs w:val="22"/>
              </w:rPr>
              <w:t>В 2024 году в целях доведения информации до СМСП о льготной кредитно-гарантийной поддержке были размещены информационные материалы:</w:t>
            </w:r>
          </w:p>
          <w:p>
            <w:pPr>
              <w:pStyle w:val="Normal"/>
              <w:jc w:val="both"/>
              <w:rPr>
                <w:spacing w:val="-2"/>
                <w:kern w:val="2"/>
                <w:sz w:val="22"/>
                <w:szCs w:val="22"/>
              </w:rPr>
            </w:pPr>
            <w:r>
              <w:rPr>
                <w:spacing w:val="-2"/>
                <w:kern w:val="2"/>
                <w:sz w:val="22"/>
                <w:szCs w:val="22"/>
              </w:rPr>
              <w:t>на официальном сайте Администрации города в сети Интернет - 9;</w:t>
            </w:r>
          </w:p>
          <w:p>
            <w:pPr>
              <w:pStyle w:val="Normal"/>
              <w:jc w:val="both"/>
              <w:rPr>
                <w:spacing w:val="-2"/>
                <w:kern w:val="2"/>
                <w:sz w:val="22"/>
                <w:szCs w:val="22"/>
              </w:rPr>
            </w:pPr>
            <w:r>
              <w:rPr>
                <w:spacing w:val="-2"/>
                <w:kern w:val="2"/>
                <w:sz w:val="22"/>
                <w:szCs w:val="22"/>
              </w:rPr>
              <w:t>на официальных аккаунтах Администрации города в социальных сетях - 5;</w:t>
            </w:r>
          </w:p>
          <w:p>
            <w:pPr>
              <w:pStyle w:val="Normal"/>
              <w:jc w:val="both"/>
              <w:rPr>
                <w:spacing w:val="-2"/>
                <w:kern w:val="2"/>
                <w:sz w:val="22"/>
                <w:szCs w:val="22"/>
              </w:rPr>
            </w:pPr>
            <w:r>
              <w:rPr>
                <w:spacing w:val="-2"/>
                <w:kern w:val="2"/>
                <w:sz w:val="22"/>
                <w:szCs w:val="22"/>
              </w:rPr>
              <w:t>на официальных аккаунтах сектора развития предпринимательства и инвестиций Администрации города в социальной сети - 12;</w:t>
            </w:r>
          </w:p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spacing w:val="-2"/>
                <w:kern w:val="2"/>
                <w:sz w:val="22"/>
                <w:szCs w:val="22"/>
              </w:rPr>
              <w:t>в городской  общественно-политической газете «Знамя Шахтера» - 2</w:t>
            </w:r>
            <w:r>
              <w:rPr>
                <w:rFonts w:eastAsia="Calibri"/>
                <w:spacing w:val="-2"/>
                <w:kern w:val="2"/>
                <w:sz w:val="22"/>
                <w:szCs w:val="22"/>
                <w:lang w:eastAsia="ar-SA"/>
              </w:rPr>
              <w:t>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информационно-консультационной поддержки предприятиям-экспортерам, информирование об акселерационных программах для субъектов МСП-экспортеров на базе АНО «Центр поддержки экспорта»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right="-200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субъектам МСП –</w:t>
            </w:r>
          </w:p>
          <w:p>
            <w:pPr>
              <w:pStyle w:val="Normal"/>
              <w:suppressAutoHyphens w:val="true"/>
              <w:ind w:right="-200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экспортерам</w:t>
            </w:r>
          </w:p>
          <w:p>
            <w:pPr>
              <w:pStyle w:val="Normal"/>
              <w:suppressAutoHyphens w:val="true"/>
              <w:ind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предоставлены информационно-консультационные услуги / информация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2023 − 2030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На официальном сайте Администрации города в сети Интернет опубликовано 7 информационных материалов для предприятий-экспортеров.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Разъяснение норм законодательства о закупках и оказание методологической помощи субъектам МСП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84" w:right="-108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субъектам МСП оказана методологическая помощь по нормам законодательства о закупках</w:t>
            </w:r>
            <w:r>
              <w:rPr>
                <w:rFonts w:eastAsia="Calibri"/>
                <w:sz w:val="22"/>
                <w:szCs w:val="22"/>
                <w:lang w:eastAsia="ar-SA"/>
              </w:rPr>
              <w:t xml:space="preserve"> / информация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ind w:left="-108" w:right="-108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2023 − 2030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контрактная служба Администрации города;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сектор развития предпринимательства и инвестиций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u w:val="none"/>
                <w:shd w:fill="auto" w:val="clear"/>
                <w:lang w:eastAsia="ar-SA"/>
              </w:rPr>
              <w:t>В 2024 году контрактной службой Администрации горо</w:t>
            </w: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да оказаны индивидуальные консультации 10 предпринимателям с визуализацией работы на портале. 13.03.2024, 30.07.2024 проведены  обучающие семинары для СМСП по разъяснению норм законодательства в сфере закупок.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26.10.2024, 29.11.2024 субъекты МСП приняли участие в онлайн-семинарах по актуальным вопросам применения законодательства о контрактной системе в сфере закупок.</w:t>
            </w:r>
          </w:p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На официальных аккаунтах Администрации города и сектора развития предпринимательства и инвестиций Администрации города в социальной сети размещено 2 информационных материала.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ярмарочной торговли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эффективности ярмарочной деятельности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территории города Новошахтинска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сектор по вопросам потребительского рынка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eastAsia="Calibri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Calibri"/>
                <w:sz w:val="22"/>
                <w:szCs w:val="22"/>
                <w:shd w:fill="auto" w:val="clear"/>
                <w:lang w:eastAsia="ar-SA"/>
              </w:rPr>
              <w:t>В 2024 году организовано 68 ярмарочных мероприятий с предоставлением участникам 1 235 торговых мест на безвозмездной основе.</w:t>
            </w:r>
          </w:p>
        </w:tc>
      </w:tr>
      <w:tr>
        <w:trPr/>
        <w:tc>
          <w:tcPr>
            <w:tcW w:w="15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3. Развитие системы социальной помощи нуждающимся гражданам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и ведение реестра граждан с доходами ниже </w:t>
            </w:r>
            <w:hyperlink r:id="rId2">
              <w:r>
                <w:rPr>
                  <w:rStyle w:val="Style8"/>
                  <w:rFonts w:cs="Times New Roman" w:ascii="Times New Roman" w:hAnsi="Times New Roman"/>
                  <w:b w:val="false"/>
                  <w:color w:val="auto"/>
                  <w:sz w:val="22"/>
                  <w:szCs w:val="22"/>
                </w:rPr>
                <w:t>прожиточного минимума</w:t>
              </w:r>
            </w:hyperlink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в городе Новошахтинске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снижение доли граждан с доходами ниже границы бедности / реестр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Управление социальной защиты населения Администрации города Новошахтинска (далее –УСЗН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Новошахтинска)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социальном отраслевом регистре «Регистр – Юг» в 2024 году зарегистрировано около 60 тысяч жителей города. Получателями мер социальной поддержки в 90% случаев являются малоимущие граждане, в 10% случаев это компенсации и льготы отдельным категориям граждан. Данные регистра регулярно обновляются, информация поступает по системе межведомственного электронного взаимодействия и из данных представленных заявителями. По внесенным данным программа регистра автоматически производит расчет размера материальных пособий, компенсаций и выплат.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Оказание адресной социальной помощи в виде социального пособия малоимущим гражданам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малоимущим гражданам предоставлены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государственная социальная помощь оказана 1 473 семьям. Общая сумма выплат составила 10,6 млн. руб.</w:t>
            </w:r>
          </w:p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Предоставление мер социальной поддержки семьям, имеющим детей и проживающим на территории города, в виде ежемесячной денежной выплаты в размере </w:t>
            </w:r>
            <w:hyperlink r:id="rId3">
              <w:r>
                <w:rPr>
                  <w:rStyle w:val="Style8"/>
                  <w:rFonts w:cs="Times New Roman" w:ascii="Times New Roman" w:hAnsi="Times New Roman"/>
                  <w:b w:val="false"/>
                  <w:color w:val="auto"/>
                  <w:sz w:val="22"/>
                  <w:szCs w:val="22"/>
                </w:rPr>
                <w:t>прожиточного минимума</w:t>
              </w:r>
            </w:hyperlink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для детей, определенного в Ростовской области, назначаемой в случае рождения после 31.12.2012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2025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данную выплату получили 98 семей на 101 ребенка в сумме 6,6 млн. руб.</w:t>
            </w:r>
          </w:p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Предоставление мер социальной поддержки малоимущим семьям, имеющим детей и проживающим на территории города, в виде предоставления регионального материнского капитала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гражданам предоставлены в соответствии с 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2026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142" w:left="-57"/>
              <w:jc w:val="both"/>
              <w:rPr>
                <w:sz w:val="22"/>
                <w:szCs w:val="22"/>
              </w:rPr>
            </w:pPr>
            <w:r>
              <w:rPr>
                <w:color w:themeColor="dark1" w:val="000000"/>
                <w:sz w:val="22"/>
                <w:szCs w:val="22"/>
              </w:rPr>
              <w:t xml:space="preserve">Предоставлены меры социальной поддержки 89 получателям на сумму  12,9 млн. рублей  (размер </w:t>
            </w:r>
            <w:r>
              <w:rPr>
                <w:rFonts w:cs="Times New Roman"/>
                <w:color w:themeColor="dark1" w:val="000000"/>
                <w:sz w:val="22"/>
                <w:szCs w:val="22"/>
              </w:rPr>
              <w:t>регионального материнского капитала</w:t>
            </w:r>
            <w:r>
              <w:rPr>
                <w:color w:themeColor="dark1" w:val="000000"/>
                <w:sz w:val="22"/>
                <w:szCs w:val="22"/>
              </w:rPr>
              <w:t xml:space="preserve"> в  2024 году составил 145,0  тыс. рублей).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Предоставление мер социальной поддержки для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гражданам предоставлены в соответствии с 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выплату получили 441 семья в сумме  2,9 млн. руб.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Предоставление мер социальной поддержки на детей первого-второго года жизни из малоимущих семей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выплату получили 674 семьи на 728 детей в сумме  6,2 млн. руб.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color w:themeColor="dark1" w:val="000000"/>
                <w:sz w:val="22"/>
                <w:szCs w:val="22"/>
              </w:rPr>
              <w:t>В 2024 году в рамках </w:t>
            </w:r>
            <w:r>
              <w:fldChar w:fldCharType="begin"/>
            </w:r>
            <w:r>
              <w:rPr>
                <w:rStyle w:val="Style8"/>
                <w:sz w:val="22"/>
                <w:szCs w:val="22"/>
                <w:color w:themeColor="dark1" w:val="000000"/>
              </w:rPr>
              <w:instrText xml:space="preserve"> HYPERLINK "https://internet.garant.ru/" \l "/document/43778138/entry/1000"</w:instrText>
            </w:r>
            <w:r>
              <w:rPr>
                <w:rStyle w:val="Style8"/>
                <w:sz w:val="22"/>
                <w:szCs w:val="22"/>
                <w:color w:themeColor="dark1" w:val="000000"/>
              </w:rPr>
              <w:fldChar w:fldCharType="separate"/>
            </w:r>
            <w:r>
              <w:rPr>
                <w:rStyle w:val="Style8"/>
                <w:color w:themeColor="dark1" w:val="000000"/>
                <w:sz w:val="22"/>
                <w:szCs w:val="22"/>
              </w:rPr>
              <w:t>государственной программы</w:t>
            </w:r>
            <w:r>
              <w:rPr>
                <w:rStyle w:val="Style8"/>
                <w:sz w:val="22"/>
                <w:szCs w:val="22"/>
                <w:color w:themeColor="dark1" w:val="000000"/>
              </w:rPr>
              <w:fldChar w:fldCharType="end"/>
            </w:r>
            <w:r>
              <w:rPr>
                <w:color w:themeColor="dark1" w:val="000000"/>
                <w:sz w:val="22"/>
                <w:szCs w:val="22"/>
              </w:rPr>
              <w:t>  Ростовской области «Социальная поддержка граждан»  выплаты не производились.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мер социальной поддержки гражданам, усыно-вившим (удочерившим) ребенка (детей), в части назначения и выплаты единовременного денежного пособия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охвата детей-сирот и детей, оставшихся без попечения родителей, семейными формами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устройства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85"/>
              <w:contextualSpacing/>
              <w:jc w:val="both"/>
              <w:rPr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 соответствии с Областным законом от 30.03.2012 № 829-ЗС «О мерах поддержки граждан, усыновивших (удочеривших) детей-сирот и детей, оставшихся без попечения родителей» в 2024 году выплата единовременного пособия в размере 30 тыс. руб. произведена 9 гражданам на 10 детей.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компенсации родительской платы за присмотр и уход за детьми в 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компенсации родительской платы за присмотр и уход за детьми в образователь-ной организации, реализующей образовательную программу дошкольного образования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В 2024 году государственная услуга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Ростовской области» предоставлена родителям (законным представителям) в отношении       2 406 детей, в том числе:1 025 – в отношении первого ребенка (в размере 20%), 1 024 – в отношении второго ребенка (в размере 50%), 357 – в отношении третьего ребенка (в размере 70%),  в соответствии с пунктом 5 статьи 65 Федерального закона от 29.12.2012  № 273-ФЗ «Об образовании в Российской Феде-рации», в соответствии в административным регламентом предоставления государственной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Ростовской области» (постановление минобразования Ростовской области от 22.12.2014         № 5).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мер социальной поддержки детей-сирот и детей, оставшихся без попечения родителей, лиц из числа детей-сирот и детей, оставшихся без попечения родителей, предусмотренных пунктами 1, 1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>, 1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1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статьи 13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Областного закона от 22.10.2004 № 165-ЗС «О социальной поддержке детства в Ростовской области»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охвата детей-сирот и детей, оставшихся без попечения родителей, семейными формами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устройства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С 01.01.2024 размер ежемесячного денежного содержания на каждого ребенка с учетом произведенной индексации составил  12 636 рублей в месяц.</w:t>
            </w:r>
          </w:p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По состоянию на 31.12.2024 - 195 детей-сирот и детей, оставшихся без попечения родителей, являются получателями ежемесячного денежного содержания.</w:t>
            </w:r>
          </w:p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Трое граждан из числа детей-сирот и детей, оставшихся без попечения родителей, достигших возраста 18 лет и продолжавших обучение в общеобразовательных организациях воспользовались правом на получение ежемесячного денежного содержания до момента окончания школы.</w:t>
            </w:r>
          </w:p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№ 369-ЗС составляет 10 379 рублей. Данная выплата назначена 35 приемным родителям.</w:t>
            </w:r>
          </w:p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в 2024 году трем вновь созданным семьям выплачено единовременное пособие на обустройство в размере     30 000 рублей.</w:t>
            </w:r>
          </w:p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Детям, имеющим установленную инвалидность, предоставлено право на дополнительное денежное содержание: размер ежемесячного денежного содержания увеличивается на 25 процентов и составляет 15 705 рублей ежемесячно. Получателями ежемесячного денежного содержания в увеличенном размере являются 13 подопечных, имеющих установленную инвалидность, воспитывающихся в семьях опекунов (попечителей), приемных родителей.</w:t>
            </w:r>
          </w:p>
          <w:p>
            <w:pPr>
              <w:pStyle w:val="Normal"/>
              <w:jc w:val="both"/>
              <w:rPr>
                <w:sz w:val="22"/>
                <w:szCs w:val="22"/>
                <w:shd w:fill="FFFFFF" w:val="clear"/>
              </w:rPr>
            </w:pPr>
            <w:r>
              <w:rPr>
                <w:sz w:val="22"/>
                <w:szCs w:val="22"/>
                <w:shd w:fill="FFFFFF" w:val="clear"/>
              </w:rPr>
              <w:t>Кроме того, 155 детей-сирот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</w:tc>
      </w:tr>
      <w:tr>
        <w:trPr/>
        <w:tc>
          <w:tcPr>
            <w:tcW w:w="15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Задача 4. Развитие системы социального контракта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 сфере занятости – поиск работы и трудоустройство, оказание содействия в прохождении профессионального обучения и получении дополнительного профессионального образования, переобучение востребованным на рынке труда профессиям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 гражданами заключен социальный контракт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2024 году по направлению «Поиск работы и трудоустройство» заключено </w:t>
            </w:r>
            <w:r>
              <w:rPr>
                <w:color w:themeColor="dark1" w:val="000000"/>
                <w:sz w:val="22"/>
                <w:szCs w:val="22"/>
              </w:rPr>
              <w:t>28 социальных контрактов на сумму 1,3 млн. руб.</w:t>
            </w:r>
          </w:p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 сфере развития предпринимательства – развитие самозанятости, оказание помощи (консультации, профобучение), предоставление средств в виде социального контракта на открытие собственного дела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 гражданами заключен социальный контракт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2023 - 2030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2024 году </w:t>
            </w:r>
            <w:r>
              <w:rPr>
                <w:color w:themeColor="dark1" w:val="000000"/>
                <w:sz w:val="22"/>
                <w:szCs w:val="22"/>
              </w:rPr>
              <w:t>заключено 40 социальных контрактов на сумму 11,6 млн. рублей, в том числе: трудная жизненная ситуация – 11 социальных контрактов на сумму 1,01 млн. рублей; развитие предпринима-тельства – 29 контрактов на сумму 10,5 млн. рублей.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 сфере развития сельского хозяйства – ведение и развитие личного подсобного хозяйства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 гражданами заключен социальный контракт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2023 - 2030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в рамках областной программы заключено 3 социальных контракта на общую сумму  240,0 тыс. рублей.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15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5. Улучшение жилищных условий семей с детьми, обеспечение доступности платы за жилищно-коммунальные услуги</w:t>
            </w:r>
          </w:p>
        </w:tc>
      </w:tr>
      <w:tr>
        <w:trPr>
          <w:trHeight w:val="3865" w:hRule="atLeast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поддержка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жилищных условий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управление жилищной политики Администрации города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территории города Новошахтинска  осуществляется  ряд мероприятий по оказанию мер поддержки отдельным категориям граждан при приобретении (строительстве) жилья в рамках реализации муниципальной программы города Новошахтинска «Развитие жилищного строительства и обеспечение доступным и комфортным жильем жителей».</w:t>
            </w:r>
          </w:p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на на 01.01.2025 в список участников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 городу Новошахтинску  включено 185 семей.</w:t>
            </w:r>
          </w:p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 2024 год  свидетельства о праве на получение социальной  выплаты на приобретение жилого помещения или создание объекта индивидуального жилищного строительства  предоставлены 5  семьям, которые реализовали  право на получение социальной  выплаты на приобретение жилого помещения или создание объекта индивидуального жилищного строительства.</w:t>
            </w:r>
          </w:p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>
              <w:rPr>
                <w:color w:val="auto"/>
                <w:sz w:val="22"/>
                <w:szCs w:val="22"/>
              </w:rPr>
              <w:t xml:space="preserve"> рамках реализации комплекса процессных мероприятий </w:t>
            </w:r>
            <w:r>
              <w:rPr>
                <w:sz w:val="22"/>
                <w:szCs w:val="22"/>
              </w:rPr>
              <w:t>«Выполнение государственных обязательств по обеспечению жильем отдельных категорий граждан» государственной программы РФ «Обеспечение доступным и комфортным жильем и коммунальными услугами граждан Российской Федерации»</w:t>
            </w:r>
            <w:r>
              <w:rPr>
                <w:color w:val="auto"/>
                <w:sz w:val="22"/>
                <w:szCs w:val="22"/>
              </w:rPr>
              <w:t xml:space="preserve"> в 2024 году 1 гражданину, относящемуся к категории граждан, подвергшиеся радиации на Чернобыльской АЭС,  предоставлено право на получение за счет средств федерального бюджета социальной выплаты для приобретения жилого помещения в размере  4,1 млн. руб.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поддержка отдельных категорий граждан (дети-сироты)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жилищных условий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управление жилищной политики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в 2024 году в рамках реализации муниципальной программы города Новошахтинска «Развитие жилищного строительства и обеспечение доступным и комфортным жильем жителей»  приобретены жилые помещения для 31 гражданина, относящегося к категории детей-сирот, на сумму </w:t>
            </w:r>
            <w:r>
              <w:rPr>
                <w:sz w:val="24"/>
                <w:szCs w:val="24"/>
              </w:rPr>
              <w:t>81,0</w:t>
            </w:r>
            <w:r>
              <w:rPr>
                <w:sz w:val="22"/>
                <w:szCs w:val="22"/>
              </w:rPr>
              <w:t xml:space="preserve"> млн. рублей из средств областного бюджета.</w:t>
            </w:r>
          </w:p>
          <w:p>
            <w:pPr>
              <w:pStyle w:val="Normal"/>
              <w:ind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на 01.01.2025 в список детей-сирот, нуждающихся в жилых помещениях, включено 56 человек.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Переселение граждан из аварийного жилищного фонда в рамках реализации государственной программы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безопасных условий проживания граждан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управление жилищной политики Администрации города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2024 году из аварийного жилищного фонда площадью 6198,8 кв. м. переселено 146 семей (365 человек).  Освоено 417,4 млн. рублей за счет средств Фонда развития территорий, областного бюджета и  бюджета города, в</w:t>
            </w:r>
            <w:r>
              <w:rPr>
                <w:sz w:val="22"/>
                <w:szCs w:val="22"/>
              </w:rPr>
              <w:t xml:space="preserve"> рамках </w:t>
            </w:r>
            <w:r>
              <w:rPr>
                <w:color w:val="auto"/>
                <w:sz w:val="22"/>
                <w:szCs w:val="22"/>
              </w:rPr>
              <w:t>реализации действующих на территории города программ по переселению проживающих  в аварийных и подлежащих сносу многоквартирных домах граждан.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5.4.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Предоставление гражданам меры социальной поддержки в форме субсидий на оплату жилых помещений и коммунальных услуг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меры социальной поддержки гражданам предоставлены в соответствии с действующим законодательством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2023 – 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УСЗН</w:t>
            </w:r>
          </w:p>
          <w:p>
            <w:pPr>
              <w:pStyle w:val="Style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назначено жилищной субсидии по оплате за жилье и коммунальные услуги   3023 семьям на общую сумму 41,6 млн. рублей.</w:t>
            </w:r>
          </w:p>
        </w:tc>
      </w:tr>
      <w:tr>
        <w:trPr/>
        <w:tc>
          <w:tcPr>
            <w:tcW w:w="15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shd w:fill="00FFFF" w:val="clear"/>
              </w:rPr>
            </w:pPr>
            <w:r>
              <w:rPr>
                <w:sz w:val="22"/>
                <w:szCs w:val="22"/>
              </w:rPr>
              <w:t>Задача 6. Организация социальной адаптации нуждающихся и малоимущих граждан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профилактических медицинских осмотров и диспансеризации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организации оказания первичной медико-санитарной помощи жителям города в целях приближения ее к их месту жительства, месту работы или обучения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ГБУ РО «ЦГБ»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г. Новошахтинске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27"/>
              <w:jc w:val="both"/>
              <w:rPr>
                <w:sz w:val="22"/>
                <w:szCs w:val="22"/>
              </w:rPr>
            </w:pPr>
            <w:r>
              <w:rPr>
                <w:color w:themeColor="dark1" w:val="000000"/>
                <w:sz w:val="22"/>
                <w:szCs w:val="22"/>
              </w:rPr>
              <w:t>В 2024 году профилактический осмотр прошли: взрослого населения — 2 589 граждан, несовершен-нолетних граждан — 12 618 человек; диспансе-ризацию прошли — 5 123 человека.</w:t>
            </w:r>
          </w:p>
          <w:p>
            <w:pPr>
              <w:pStyle w:val="Normal"/>
              <w:ind w:left="1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Вовлечение населения в систематические занятия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числа граждан, занимающихся физической культурой и спортом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физической</w:t>
            </w:r>
          </w:p>
          <w:p>
            <w:pPr>
              <w:pStyle w:val="Normal"/>
              <w:ind w:hanging="1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культуры, спорта и туризма  Отдела культуры и спорта</w:t>
            </w:r>
          </w:p>
          <w:p>
            <w:pPr>
              <w:pStyle w:val="Normal"/>
              <w:ind w:left="-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>Администрации города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Новошахтинска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cs="Arial"/>
                <w:sz w:val="22"/>
                <w:szCs w:val="22"/>
                <w:lang w:eastAsia="fa-IR" w:bidi="fa-IR"/>
              </w:rPr>
            </w:pPr>
            <w:r>
              <w:rPr>
                <w:sz w:val="22"/>
                <w:szCs w:val="22"/>
              </w:rPr>
              <w:t>В 2024 году с целью вовлечения граждан в занятия физической культурой и спортом, популяризации здорового образа жизни, комплексного решения проблем двигательной активности и укрепления здоровья, на территории города проведено более 80 мероприятий фестивалей и акций  Всероссийского физкультурно-спортивного комплекса «Готов к труду и обороне» (ГТО). Традиционными стали: Спартакиада  «Молодежь Несветая», среди образовательных учреждений; областные турниры по художественной гимнастике, вольной борьбе, настольному тенису каратэ, функциональному многоборью; матчи первенства России по футболу среди юниорок; матчи Кубка Губернатора — Первенства Ростовской области по футболу среди команд первой лиги; Первенство ростовской области по футболу среди ветеранов категории 35+; турнир по футболу на кубок газеты «Знамя шахтера»; областной детско-юношеский турнир по футболу памяти Шишрова Н.В.; областной турнир по футболу «Кубок Вагиза Хидиятуллина»; областной детско-юношеский турнир по футболу «Золотая осень».</w:t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  <w:lang w:eastAsia="fa-IR" w:bidi="fa-IR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рамках регионального этапа фестиваля Всероссийского физкультурно-спортивного комплекса «Готов к труду и обороне» (ГТО) проводится тестирование по выполнению видов испытаний (тестов); нормативов ГТО среди различных возрастных групп (от 6 до 70 лет и старше), установленных нормативов испытаний по трем уровням трудности, соответствующим золотому, серебряному и бронзовому знакам отличия «Готов к труду и обороне». В отчетном году  в тестировании приняли участие 1897 человек.</w:t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  <w:lang w:eastAsia="fa-IR" w:bidi="fa-IR"/>
              </w:rPr>
            </w:pPr>
            <w:r>
              <w:rPr>
                <w:sz w:val="22"/>
                <w:szCs w:val="22"/>
              </w:rPr>
              <w:t>Спортсмены города Новошахтинска приняли участие в региональном этапе фестиваля Всероссийского физкультурно-спортивного комплекса «Готов к труду и обороне» среди лиц старшего возраста в рамках регионального проекта «Спорт – норма жизни». В личном зачете в своих возрастных ступенях комплекса ГТО заняли 1 и 3 место.</w:t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  <w:lang w:eastAsia="fa-IR" w:bidi="fa-IR"/>
              </w:rPr>
            </w:pPr>
            <w:r>
              <w:rPr>
                <w:sz w:val="22"/>
                <w:szCs w:val="22"/>
              </w:rPr>
              <w:t>В региональном этапе фестиваля Всероссийского физкультурно-спортивного комплекса «Готов к труду и обороне» (ГТО) среди обучающихся общеобразовательных организаций Ростовской области, в котором приняли участие команды из 26 территорий, команда  новошахтинских школьников заняла 6 место.</w:t>
            </w:r>
          </w:p>
          <w:p>
            <w:pPr>
              <w:pStyle w:val="Normal"/>
              <w:jc w:val="both"/>
              <w:rPr>
                <w:rFonts w:cs="Arial"/>
                <w:sz w:val="22"/>
                <w:szCs w:val="22"/>
                <w:lang w:eastAsia="fa-IR" w:bidi="fa-IR"/>
              </w:rPr>
            </w:pPr>
            <w:r>
              <w:rPr>
                <w:sz w:val="22"/>
                <w:szCs w:val="22"/>
              </w:rPr>
              <w:t>Команда воспитанников двух дошкольных учреждений города, победители и призеры первого муниципального этапа фестиваля, приняла активное участие в региональном этапе фестиваля Всероссийского физкультурно-спортивного комплекса «Готов к труду и обороне» среди воспитанников дошкольных образовательных организаций.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Предоставление льгот на 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числа граждан, посещающих учреждения культуры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и спорта 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школах </w:t>
            </w:r>
            <w:r>
              <w:rPr>
                <w:sz w:val="22"/>
                <w:szCs w:val="22"/>
                <w:shd w:fill="auto" w:val="clear"/>
              </w:rPr>
              <w:t xml:space="preserve">дополнительного образования предусмотрена льгота по получению бесплатного образования для обучающихся: детей-участников специальной военной операции, для детей инвалидов , для </w:t>
            </w:r>
            <w:r>
              <w:rPr>
                <w:sz w:val="22"/>
                <w:szCs w:val="22"/>
              </w:rPr>
              <w:t>детей, находящихся под опекой, для детей - инвалидов и учащихся Новошахтинской школы-интерната, для детей из многодетных семей, семьи по потере кормильца.</w:t>
            </w:r>
          </w:p>
          <w:p>
            <w:pPr>
              <w:pStyle w:val="12"/>
              <w:spacing w:lineRule="auto" w:line="24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2024 году в учреждениях дополнительного образования города льготами пользовались 246 обучающихся, в том числе 33 человека с ограниченными возможностями здоровья 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43 обучающихся из семей - участников специальной военной операции.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Предоставление льгот на посещение муниципального бюджетного учреждения культуры «Новошахтинский драматический театр» студентам и пенсионерам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числа граждан, посещающих учреждения культуры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и спорта 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2024 году в Новошахтинском драматическом театре (далее - Театр) состоялось 313 мероприятий (спектакли, концерты, фестивали, мастер-классы, творческие встречи, открытая репетиция), которые посетили 126 966 человек. Льготными билетами воспользовались 6 867 зрителей.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 активно ведет выставочную деятельность. Состоялось 10 выставок,  которые бесплатно посетили 50 998 человек.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дополнительного образования детей в муниципальных общеобразовательных организациях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 образования 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estern"/>
              <w:tabs>
                <w:tab w:val="clear" w:pos="708"/>
                <w:tab w:val="left" w:pos="851" w:leader="none"/>
              </w:tabs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В 2024 году в муниципальной программе города Новошахтинска «Развитие муниципальной системы образования» предусмотрены средства субвенции на реализацию прав на получение дополнительного образования детей в муниципальных общеобразова-тельных организациях в размере  7,0 млн. руб.</w:t>
            </w:r>
          </w:p>
          <w:p>
            <w:pPr>
              <w:pStyle w:val="western"/>
              <w:tabs>
                <w:tab w:val="clear" w:pos="708"/>
                <w:tab w:val="left" w:pos="851" w:leader="none"/>
              </w:tabs>
              <w:spacing w:lineRule="auto" w:line="240" w:before="0" w:after="0"/>
              <w:jc w:val="both"/>
              <w:rPr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Финансирование израсходовано в полном объеме на предоставление дополнительного образования               4 108 обучающихся в 16 общеобразовательных организациях.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предоставления муниципальных услуг муниципальными организациями дополнительного 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успешного функционирования муниципальных бюджетных организаций дополнительного образования города Новошахтинска для получения качественного дополнительного образования / 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– 2030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Управление образования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Администрации города Новошахтинска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В городе Новошахтинске  функционирует  6 организаций дополнительного образования,  подведомственных Управлению образования: 4 спортивные школы, Станция юных техников, Центр развития творчества детей и юношества.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Дополнительное образование  осуществляется по следующим  направлениям: техническое, спортивное и спортивно-техническое, эколого-биологическое, культурологическое, туристско-краеведческое  и художественное творчество, естественнонаучное.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В 4 спортивных школах и в МБУ ДО «ЦРТДиЮ»   развиваются  23 вида спорта (баскетбол, настольный теннис, бокс, волейбол, спортивная гимнас-тика, плавание, тхэквондо, пауэрлифтинг, водное поло, гандбол, художественная гимнастика, танцевальный спорт, шахматы, каратэ, футбол, тег-регби, фигурное катание, хоккей с шайбой  и др.).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С 2023 года на базе МБОУ СОШ № 4 в рамках федерального проекта «Цифровая образовательная среда» национального проекта «Образование» активно функционирует центр цифрового образования детей «IT-куб», где школьники города осваивают цифровые технологии и получают образование разных уровней по перспективным направлениям IT-отрасли.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19 общеобразовательных школ и 27 детских садов имеют лицензию на реализацию дополнительных общеобразовательных программ. Дополнительное образование в городе является доступным  и  бесплатным.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Внедрена система персонифицированного финансирования дополнительного образования детей. Реализация социального заказа возможна через социальный сертификат, который выдается потребителю услуг и используется для оплаты выбранной им услуги.</w:t>
            </w:r>
          </w:p>
          <w:p>
            <w:pPr>
              <w:pStyle w:val="western"/>
              <w:widowControl/>
              <w:tabs>
                <w:tab w:val="clear" w:pos="708"/>
                <w:tab w:val="left" w:pos="851" w:leader="none"/>
              </w:tabs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На базе МБУ ДО «ЦРТДиЮ» создан муниципальный опорный центр, где родители и дети могут получить необходимую инфор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2"/>
                <w:lang w:eastAsia="ru-RU"/>
              </w:rPr>
              <w:t>мацию в рамках социального заказа.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footnotePr>
        <w:numFmt w:val="decimal"/>
      </w:footnotePr>
      <w:type w:val="nextPage"/>
      <w:pgSz w:orient="landscape" w:w="16838" w:h="11906"/>
      <w:pgMar w:left="1134" w:right="1134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  <w:font w:name="Times New Roman CYR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ind w:firstLine="709"/>
        <w:jc w:val="both"/>
        <w:rPr/>
      </w:pPr>
      <w:r>
        <w:rPr>
          <w:rStyle w:val="Style15"/>
        </w:rPr>
        <w:footnoteRef/>
      </w:r>
      <w:r>
        <w:rPr/>
      </w:r>
    </w:p>
  </w:footnote>
</w:footnotes>
</file>

<file path=word/settings.xml><?xml version="1.0" encoding="utf-8"?>
<w:settings xmlns:w="http://schemas.openxmlformats.org/wordprocessingml/2006/main">
  <w:zoom w:percent="86"/>
  <w:defaultTabStop w:val="708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keepLines/>
      <w:spacing w:before="480" w:after="0"/>
      <w:outlineLvl w:val="0"/>
    </w:pPr>
    <w:rPr>
      <w:rFonts w:ascii="Cambria" w:hAnsi="Cambria" w:eastAsia="Calibri" w:cs="Tahoma"/>
      <w:b/>
      <w:bCs/>
      <w:color w:themeColor="accent1" w:themeShade="bf" w:val="365F91"/>
      <w:sz w:val="28"/>
      <w:szCs w:val="28"/>
    </w:rPr>
  </w:style>
  <w:style w:type="character" w:styleId="DefaultParagraphFont">
    <w:name w:val="Default Paragraph Font"/>
    <w:qFormat/>
    <w:rPr/>
  </w:style>
  <w:style w:type="character" w:styleId="Style13">
    <w:name w:val="Гипертекстовая ссылка"/>
    <w:basedOn w:val="DefaultParagraphFont"/>
    <w:qFormat/>
    <w:rPr>
      <w:rFonts w:cs="Times New Roman"/>
      <w:b w:val="false"/>
      <w:color w:val="106BBE"/>
    </w:rPr>
  </w:style>
  <w:style w:type="character" w:styleId="1">
    <w:name w:val="Заголовок 1 Знак"/>
    <w:basedOn w:val="DefaultParagraphFont"/>
    <w:qFormat/>
    <w:rPr>
      <w:rFonts w:ascii="Cambria" w:hAnsi="Cambria" w:eastAsia="Calibri" w:cs="Tahoma"/>
      <w:b/>
      <w:bCs/>
      <w:color w:themeColor="accent1" w:themeShade="bf" w:val="365F91"/>
      <w:sz w:val="28"/>
      <w:szCs w:val="28"/>
      <w:lang w:eastAsia="ru-RU"/>
    </w:rPr>
  </w:style>
  <w:style w:type="character" w:styleId="Style14">
    <w:name w:val="Абзац списка Знак"/>
    <w:basedOn w:val="DefaultParagraphFont"/>
    <w:link w:val="ListParagraph"/>
    <w:qFormat/>
    <w:rPr>
      <w:rFonts w:eastAsia="Times New Roman" w:cs="Times New Roman"/>
      <w:color w:val="000000"/>
      <w:szCs w:val="20"/>
      <w:lang w:eastAsia="ru-RU"/>
    </w:rPr>
  </w:style>
  <w:style w:type="character" w:styleId="InternetLink">
    <w:name w:val="Internet Link"/>
    <w:qFormat/>
    <w:rPr>
      <w:color w:val="000080"/>
      <w:u w:val="single"/>
    </w:rPr>
  </w:style>
  <w:style w:type="character" w:styleId="Style15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Style16">
    <w:name w:val="Символ концевой сноски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Footnote">
    <w:name w:val="Footnote"/>
    <w:basedOn w:val="Normal"/>
    <w:qFormat/>
    <w:pPr>
      <w:widowControl w:val="false"/>
    </w:pPr>
    <w:rPr>
      <w:rFonts w:ascii="Arial" w:hAnsi="Arial"/>
    </w:rPr>
  </w:style>
  <w:style w:type="paragraph" w:styleId="11">
    <w:name w:val="Знак сноски1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Style19">
    <w:name w:val="Нормальный (таблица)"/>
    <w:basedOn w:val="Normal"/>
    <w:next w:val="Normal"/>
    <w:qFormat/>
    <w:pPr>
      <w:widowControl w:val="false"/>
      <w:jc w:val="both"/>
    </w:pPr>
    <w:rPr>
      <w:rFonts w:ascii="Times New Roman CYR" w:hAnsi="Times New Roman CYR" w:eastAsia="Calibri" w:cs="Times New Roman CYR"/>
      <w:color w:val="auto"/>
      <w:sz w:val="24"/>
      <w:szCs w:val="24"/>
    </w:rPr>
  </w:style>
  <w:style w:type="paragraph" w:styleId="Style20">
    <w:name w:val="Прижатый влево"/>
    <w:basedOn w:val="Normal"/>
    <w:next w:val="Normal"/>
    <w:qFormat/>
    <w:pPr>
      <w:widowControl w:val="false"/>
    </w:pPr>
    <w:rPr>
      <w:rFonts w:ascii="Times New Roman CYR" w:hAnsi="Times New Roman CYR" w:eastAsia="Calibri" w:cs="Times New Roman CYR"/>
      <w:color w:val="auto"/>
      <w:sz w:val="24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qFormat/>
    <w:pPr>
      <w:spacing w:before="280" w:after="119"/>
    </w:pPr>
    <w:rPr>
      <w:color w:val="auto"/>
      <w:sz w:val="24"/>
      <w:szCs w:val="24"/>
    </w:rPr>
  </w:style>
  <w:style w:type="paragraph" w:styleId="12">
    <w:name w:val="Без интервала1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Lucida Sans Unicode" w:cs="Arial"/>
      <w:color w:val="auto"/>
      <w:kern w:val="0"/>
      <w:sz w:val="20"/>
      <w:szCs w:val="24"/>
      <w:lang w:val="ru-RU" w:eastAsia="hi-IN" w:bidi="hi-IN"/>
    </w:rPr>
  </w:style>
  <w:style w:type="paragraph" w:styleId="13">
    <w:name w:val="Основной текст1"/>
    <w:basedOn w:val="Normal"/>
    <w:qFormat/>
    <w:pPr>
      <w:shd w:val="clear" w:fill="FFFFFF"/>
      <w:suppressAutoHyphens w:val="true"/>
      <w:spacing w:lineRule="exact" w:line="278" w:before="360" w:after="240"/>
      <w:jc w:val="both"/>
    </w:pPr>
    <w:rPr>
      <w:rFonts w:cs="Times"/>
      <w:sz w:val="23"/>
      <w:szCs w:val="23"/>
      <w:lang w:eastAsia="hi-IN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Calibri" w:cs="Tahoma"/>
      <w:color w:val="000000"/>
      <w:kern w:val="2"/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Style14"/>
    <w:qFormat/>
    <w:pPr>
      <w:spacing w:lineRule="auto" w:line="276" w:before="0" w:after="200"/>
      <w:ind w:left="720"/>
      <w:contextualSpacing/>
    </w:pPr>
    <w:rPr>
      <w:rFonts w:ascii="Calibri" w:hAnsi="Calibri"/>
      <w:sz w:val="22"/>
    </w:rPr>
  </w:style>
  <w:style w:type="paragraph" w:styleId="western">
    <w:name w:val="western"/>
    <w:basedOn w:val="Normal"/>
    <w:qFormat/>
    <w:pPr>
      <w:spacing w:lineRule="auto" w:line="276" w:before="280" w:after="119"/>
    </w:pPr>
    <w:rPr>
      <w:rFonts w:ascii="Calibri" w:hAnsi="Calibri"/>
      <w:sz w:val="22"/>
    </w:rPr>
  </w:style>
  <w:style w:type="paragraph" w:styleId="FootnoteText">
    <w:name w:val="footnote text"/>
    <w:basedOn w:val="Normal"/>
    <w:pPr/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Style23">
    <w:name w:val="Без списка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ternet.garant.ru/document/redirect/9910225/0" TargetMode="External"/><Relationship Id="rId3" Type="http://schemas.openxmlformats.org/officeDocument/2006/relationships/hyperlink" Target="https://internet.garant.ru/document/redirect/9910225/0" TargetMode="Externa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Application>LibreOffice/24.8.3.2$Linux_X86_64 LibreOffice_project/48a6bac9e7e268aeb4c3483fcf825c94556d9f92</Application>
  <AppVersion>15.0000</AppVersion>
  <Pages>5</Pages>
  <Words>5593</Words>
  <Characters>40749</Characters>
  <CharactersWithSpaces>46204</CharactersWithSpaces>
  <Paragraphs>449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2023-09-29T13:14:00Z</dcterms:created>
  <dc:creator>Trud</dc:creator>
  <dc:description/>
  <dc:language>ru-RU</dc:language>
  <cp:lastModifiedBy/>
  <cp:lastPrinted>2025-02-03T17:31:10Z</cp:lastPrinted>
  <dcterms:modified xsi:type="dcterms:W3CDTF">2025-02-03T17:44:53Z</dcterms:modified>
  <cp:revision>277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