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Приложение № 1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областной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трехсторонней комиссии</w:t>
        <w:br/>
        <w:t>по регулированию</w:t>
        <w:br/>
        <w:t>социально-трудовых</w:t>
        <w:br/>
        <w:t>отношений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03 июля 2025 № 5</w:t>
      </w:r>
    </w:p>
    <w:p>
      <w:pPr>
        <w:pStyle w:val="ConsPlusNormal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Title1"/>
        <w:jc w:val="center"/>
        <w:rPr>
          <w:rFonts w:ascii="Times New Roman" w:hAnsi="Times New Roman"/>
          <w:sz w:val="28"/>
        </w:rPr>
      </w:pPr>
      <w:bookmarkStart w:id="1" w:name="P681"/>
      <w:bookmarkEnd w:id="1"/>
      <w:r>
        <w:rPr>
          <w:rFonts w:ascii="Times New Roman" w:hAnsi="Times New Roman"/>
          <w:sz w:val="28"/>
        </w:rPr>
        <w:t>РЕКОМЕНДАЦИИ</w:t>
      </w:r>
    </w:p>
    <w:p>
      <w:pPr>
        <w:pStyle w:val="ConsPlusTitle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ОБЛАСТНОЙ ТРЕХСТОРОННЕЙ КОМИССИИ ПО РЕГУЛИРОВАНИЮ СОЦИАЛЬНО-ТРУДОВЫХ ОТНОШЕНИЙ ПО ВКЛЮЧЕНИЮ ПРИМЕРНЫХ ПОЛОЖЕНИЙ </w:t>
      </w:r>
    </w:p>
    <w:p>
      <w:pPr>
        <w:pStyle w:val="ConsPlusTitle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КОЛЛЕКТИВНЫЕ ДОГОВОРЫ И СОГЛАШЕНИЯ</w:t>
      </w:r>
    </w:p>
    <w:p>
      <w:pPr>
        <w:pStyle w:val="ConsPlusNormal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сфере заработной платы, доходов и социальной</w:t>
      </w:r>
    </w:p>
    <w:p>
      <w:pPr>
        <w:pStyle w:val="ConsPlusNormal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защищенности работников</w:t>
      </w:r>
    </w:p>
    <w:p>
      <w:pPr>
        <w:pStyle w:val="ConsPlusNormal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 Установление оптимального соотношения доли окладов (должностных окладов, ставок заработной платы, тарифных ставок) в структуре заработной платы работников (доли фонда оплаты труда в объеме полученного дохода (прибыли), доли фонда оплаты труда в себестоимости продукции (работ, услуг).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 Установление в организациях внебюджетного сектора экономики </w:t>
        <w:br/>
        <w:t>и индивидуальных предпринимателей минимальной заработной платы работникам, полностью отработавшим норму рабочего времени и исполнившим свои трудовые обязанности (нормы труда), в размере не ниже 1,2 минимального размера оплаты труда, установленного в соответствии с законодательством Российской Федерации.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 Определение размера минимальной заработной платы исходя из расчета оплаты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 Установление размера тарифной ставки 1 разряда, минимального размера оклада (должностного оклада) без учета компенсационных и стимулирующих выплат на предприятиях внебюджетного сектора экономики, индивидуальных предпринимателей не ниже размера, установленного в отраслевом соглашении </w:t>
        <w:br/>
        <w:t>(при отсутствии отраслевого соглашения на уровне минимального размера оплаты труда,установленного федеральным законодательством).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 Установление порядка индексации заработной платы (сроки, размеры).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 Предоставление вышедшим на пенсию работникам и их семьям возможности пользоваться социальными услугами и объектами социально-культурного назначения организации.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 Применение систем нормирования труда.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1.8. Установление сроков выплаты заработной платы.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 Обязанность по выдаче каждому работнику расчетных листков о составных частях заработной платы, причитающейся ему за соответствующий период,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работнику, размерах и основаниях произведенных удержаний, общей денежной сумме, подлежащей выплате.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1.10. Обеспечение своевременной выплаты заработной платы. Установление размера денежной компенсации за задержку выплаты заработной платы и других выплат, причитающихся работнику.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1.11. Обеспечение  выплаты работникам за счет средств работодателя пособия по временной нетрудоспособности (вследствие болезни или травмы,</w:t>
        <w:br/>
        <w:t>за исключением несчастных случаев на производстве) в соответствии</w:t>
        <w:br/>
        <w:t>с действующим законодательством.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1.12. Установление размеров и порядка выплат компенсационного</w:t>
        <w:br/>
        <w:t>и стимулирующего характера.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1.13. Установление порядка оплаты отпуска, а также компенсации за все неиспользованные отпуска.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1.14. Обеспечение выплаты всех причитающихся сумм в день увольнения работника.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1.15. Выделение средств на социальную поддержку работников и членов их семей, в том числе на проезд, жилищно-коммунальные услуги, питание, приобретение (строительство) жилья, оздоровление и другое.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1.16. Исполнение обязательств по поддержке работающих инвалидов, а также работников, имеющих в составе семей лиц с ограничениями жизнедеятельности.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1.17. Отчисление средств на негосударственное пенсионное обеспечение</w:t>
        <w:br/>
        <w:t xml:space="preserve">и добровольное медицинское страхование работающих и членов их семей. Недопущение нецелевого использования средств, предназначенных на оплату труда.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1.18. Создание условий для обеспечения жилыми помещениями работников, состоящих на учете и нуждающихся в улучшении жилищных условий по месту работы, за счет средств работодателя, в том числе с возможным долевым участием работников.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1.19. Установление за счет средств работодателя дополнительных мер социальной поддержки при выходе на пенсию работникам, имеющим трудовые заслуги и длительный стаж работы в организации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1.20. Рассмотрение вопроса об организации учебной и производственной практики с образовательными организациями профессионального образования</w:t>
        <w:br/>
        <w:t>и оплате труда обучающихся, студентов в период практики в зависимости</w:t>
        <w:br/>
        <w:t>от сложности, количества, качества и условий выполняемой работы.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1.21. Определение с учетом мнения выборного органа первичной профсоюзной организации дополнительного вознаграждения в размере 2/3 средней заработной платы за нерабочие праздничные дни, в которые работник не привлекался к работе, за исключением работников, получающих оклад.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1.22. Определение размеров повышения оплаты труда за работу в ночное время выше минимальных, установленных Правительством Российской Федерации.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1.23. Установление условно-постоянной части заработной платы (доли выплат по должностным окладам (окладам), ставкам заработной платы (тарифным ставкам) работникам организаций внебюджетного сектора экономики</w:t>
        <w:br/>
        <w:t>на уровне не ниже 60 процентов от общего размера заработной платы, работникам бюджетной сферы с учетом Единых рекомендаций по установлению</w:t>
        <w:br/>
        <w:t>на федеральном, региональном и местном уровнях систем оплаты труда работников государственных и муниципальных учреждений.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1.24. Определение размеров и условий осуществления выплат</w:t>
        <w:br/>
        <w:t>за наставничество.</w:t>
      </w:r>
    </w:p>
    <w:p>
      <w:pPr>
        <w:pStyle w:val="ConsPlusNormal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 сфере содействия занятости и кадрового обеспечения</w:t>
      </w:r>
    </w:p>
    <w:p>
      <w:pPr>
        <w:pStyle w:val="ConsPlusNormal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организаций</w:t>
      </w:r>
    </w:p>
    <w:p>
      <w:pPr>
        <w:pStyle w:val="ConsPlusNormal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Реализация мер по созданию и функционированию систем внутрифирменной подготовки и переподготовки кадров в соответствии</w:t>
        <w:br/>
        <w:t>с требованиями рынка труда, предусмотрев на эти цели необходимые средства.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Создание необходимых условий для подготовки, переобучения</w:t>
        <w:br/>
        <w:t>и повышения квалификации работников, в том числе намечаемых к увольнению, предоставления высвобождаемым работникам льгот и компенсаций сверх установленных законодательством Российской Федерации.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Организация мероприятий по созданию условий для трудовой деятельности инвалидов, граждан предпенсионного и пенсионного возраста, женщин, совмещающих воспитание детей с трудовой занятостью, а также применению дистанционных и гибких форм занятости (неполный рабочий день, неделя) к данной категории работников.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 Финансирование мероприятий, направленных на: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квалификации и профессионального уровня персонала, в том числе в рамках плана подготовки управленческих кадров;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переподготовку работников, увольняемых до наступления срока расторжения трудового договора, предоставление им льгот и компенсаций сверх установленных законодательством Российской Федерации;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квалификации и профессионального уровня специалистов кадровых служб;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профессиональное обучение и переподготовка работников, чей уровень квалификации не соответствует требованиям профессиональных стандартов;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разработку и реализацию программ наставничества и адаптации молодых работников на производстве.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 Согласование с первичными профсоюзными организациями вопроса привлечения в организацию иностранных работников.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 Рассмотрение возможности предоставления работникам, получившим уведомление о предстоящем расторжении трудового договора по инициативе работодателя в связи с сокращением численности или штата, нескольких часов в день или одного дня в неделю с сохранением заработной платы для поиска нового места работы.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 Установление для молодых специалистов гарантии по сохранению рабочего места в случае проведения работодателями мероприятий по сокращению численности или штата работников организации в первые два года работы после окончания обучения.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 Рассмотрение возможности по сохранению очереди на получение</w:t>
        <w:br/>
        <w:t>и приобретение жилья, пользование ведомственными дошкольными образовательными учреждениями на срок не менее двух лет для работников, уволенных по сокращению численности или штата.</w:t>
      </w:r>
    </w:p>
    <w:p>
      <w:pPr>
        <w:pStyle w:val="ConsPlusNormal2"/>
        <w:ind w:firstLine="53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 Недопущение увольнения по сокращению численности или штата работников:</w:t>
      </w:r>
    </w:p>
    <w:p>
      <w:pPr>
        <w:pStyle w:val="Normal"/>
        <w:widowControl w:val="false"/>
        <w:spacing w:lineRule="auto" w:line="240" w:before="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получивших в период работы у данного работодателя трудовое увечье</w:t>
        <w:br/>
        <w:t>или профессиональное заболевание до восстановления работоспособности</w:t>
        <w:br/>
        <w:t>или установления инвалидности;</w:t>
      </w:r>
    </w:p>
    <w:p>
      <w:pPr>
        <w:pStyle w:val="Normal"/>
        <w:widowControl w:val="false"/>
        <w:spacing w:lineRule="auto" w:line="240" w:before="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имеющих двух и более несовершеннолетних детей или ребенка-инвалида;</w:t>
      </w:r>
    </w:p>
    <w:p>
      <w:pPr>
        <w:pStyle w:val="Normal"/>
        <w:widowControl w:val="false"/>
        <w:spacing w:lineRule="auto" w:line="240" w:before="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работников - членов одной семьи.</w:t>
      </w:r>
    </w:p>
    <w:p>
      <w:pPr>
        <w:pStyle w:val="Normal"/>
        <w:widowControl w:val="false"/>
        <w:spacing w:lineRule="auto" w:line="240" w:before="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2.11. </w:t>
      </w:r>
      <w:r>
        <w:rPr>
          <w:rFonts w:ascii="Times New Roman" w:hAnsi="Times New Roman"/>
          <w:sz w:val="28"/>
        </w:rPr>
        <w:t>Рассмотрение возможности перевода работников на дистанционный режим работы, предусмотрев особенности организации труда, гарантии по оплате труда.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  <w:highlight w:val="yellow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 сфере охраны труда и экологической безопасности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Создание системы управления охраной труда, в том числе оценки профессиональных рисков и минимизации их последствий с использованием Методического навигатора по оценки профессиональных рисков.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Повышение уровня технической и экологической безопасности производств, проведение специальной оценки условий труда, сокращение числа рабочих мест с вредными и (или) опасными условиями труда, обеспечение труда женщин (вне контакта с веществами 1-2 класса опасности, канцерогенами, аллергенами и другими потенциально опасными для репродуктивного здоровья веществами).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Осуществление добровольного дополнительного страхования работников, занятых на работах с вредными и (или) опасными условиями труда, от несчастных случаев на производстве и профессиональных заболеваний.</w:t>
      </w:r>
    </w:p>
    <w:p>
      <w:pPr>
        <w:pStyle w:val="Normal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Проведение дополнительных медосмотров, обследований </w:t>
      </w:r>
      <w:r>
        <w:rPr/>
        <w:br/>
      </w:r>
      <w:r>
        <w:rPr>
          <w:rFonts w:ascii="Times New Roman" w:hAnsi="Times New Roman"/>
          <w:sz w:val="28"/>
        </w:rPr>
        <w:t xml:space="preserve">и освидетельствований работающих граждан, занятых на работах с вредными </w:t>
      </w:r>
      <w:r>
        <w:rPr/>
        <w:br/>
      </w:r>
      <w:r>
        <w:rPr>
          <w:rFonts w:ascii="Times New Roman" w:hAnsi="Times New Roman"/>
          <w:sz w:val="28"/>
        </w:rPr>
        <w:t>и (или) опасными условиями труда в соответствии с действующими нормативными правовыми актами по медицинским показаниям.</w:t>
      </w:r>
    </w:p>
    <w:p>
      <w:pPr>
        <w:pStyle w:val="Normal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Установление в повышенном размере компенсации за работу во вредных и (или) опасных условиях труда по сравнению с трудовым законодательством.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3.6. Разработка ежегодных мероприятий по улучшению условий и охраны труда работников, санаторно-оздоровительных и лечебно-профилактических мероприятий с финансированием в размерах, предусмотренных законодательством, и выше.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3.7. Финансирование мероприятий по улучшению условий и охраны труда, </w:t>
      </w:r>
      <w:r>
        <w:rPr/>
        <w:br/>
      </w:r>
      <w:r>
        <w:rPr>
          <w:rFonts w:ascii="Times New Roman" w:hAnsi="Times New Roman"/>
          <w:sz w:val="28"/>
        </w:rPr>
        <w:t>в том числе специальной оценки условий труда.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3.8. Проведение мероприятий по улучшению условий и охраны труда, разработка и внедрение программы «Нулевой травматизм» либо актуализация действующих мероприятий по улучшению условий и охраны труда.</w:t>
      </w:r>
    </w:p>
    <w:p>
      <w:pPr>
        <w:pStyle w:val="Normal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3.9. Сохранение заработной платы до десяти рабочих дней в течение одного календарного года добровольным пожарным на время их участия в тушении пожаров или несения ими службы (дежурства) в расположении добровольной пожарной команды или добровольной пожарной дружины.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3.10. Предоставление ежегодного дополнительного оплачиваемого отпуска народным дружинникам в количестве не менее 3-х календарных дней.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3.11. Возмещение вреда, причиненного жизни и здоровью работника </w:t>
      </w:r>
      <w:r>
        <w:rPr/>
        <w:br/>
      </w:r>
      <w:r>
        <w:rPr>
          <w:rFonts w:ascii="Times New Roman" w:hAnsi="Times New Roman"/>
          <w:sz w:val="28"/>
        </w:rPr>
        <w:t xml:space="preserve">в результате несчастного случая или профессионального заболевания </w:t>
      </w:r>
      <w:r>
        <w:rPr/>
        <w:br/>
      </w:r>
      <w:r>
        <w:rPr>
          <w:rFonts w:ascii="Times New Roman" w:hAnsi="Times New Roman"/>
          <w:sz w:val="28"/>
        </w:rPr>
        <w:t xml:space="preserve">при исполнении им своих трудовых обязанностей, сверх выплат, предусмотренных законодательством, на условиях, установленных коллективным договором </w:t>
      </w:r>
      <w:r>
        <w:rPr/>
        <w:br/>
      </w:r>
      <w:r>
        <w:rPr>
          <w:rFonts w:ascii="Times New Roman" w:hAnsi="Times New Roman"/>
          <w:sz w:val="28"/>
        </w:rPr>
        <w:t>или локальным нормативным актом.</w:t>
      </w:r>
    </w:p>
    <w:p>
      <w:pPr>
        <w:pStyle w:val="Normal"/>
        <w:widowControl w:val="false"/>
        <w:spacing w:lineRule="auto" w:line="240" w:before="22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3.12. Возмещение расходов на погребение в случае смерти работника</w:t>
        <w:br/>
        <w:t>в результате несчастного случая, связанного с производством, а также смерти, наступившей вследствие трудового увечья, либо профессионального заболевания.</w:t>
      </w:r>
    </w:p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3.13. Проведение внутреннего контроля (самоконтроля) функционирования системы управления охраной труда.</w:t>
      </w:r>
    </w:p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3.14. Выплата семье погибшего работника в результате несчастного случая</w:t>
        <w:br/>
        <w:t>на производстве по вине работодателя (его представителя) единовременного пособия</w:t>
        <w:br/>
        <w:t>в сумме не менее 20 минимальных размеров оплаты труда, установленных федеральным законодательством, сверх норм, предусмотренных обязательным социальным страхованием от несчастных случаев на производстве</w:t>
        <w:br/>
        <w:t>и профессиональных заболеваний.</w:t>
      </w:r>
    </w:p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3.15. Выделение средств на приобретение путевок на санаторно-курортное лечение работников, занятых на работах с вредными и (или) опасными условиями труда.</w:t>
      </w:r>
    </w:p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3.16. Размещение, хранение и использование аптечек для оказания работниками первой помощи пострадавшим по результатам оценки профессиональных рисков.</w:t>
      </w:r>
    </w:p>
    <w:p>
      <w:pPr>
        <w:pStyle w:val="ConsPlusNormal2"/>
        <w:spacing w:before="220" w:after="0"/>
        <w:ind w:firstLine="709"/>
        <w:jc w:val="both"/>
        <w:rPr>
          <w:rStyle w:val="1"/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3.17. Предоставление за счет средств работодателя дополнительных льгот</w:t>
        <w:br/>
        <w:t>и гарантий уполномоченным (доверенным) лицам по охране труда профессиональных союзов, в том числе не менее 4 часов в неделю для осуществления общественного контроля с сохранением места работы (должности), среднего заработка и ежегодного дополнительного оплачиваемого отпуска на срок не менее 3</w:t>
      </w:r>
      <w:r>
        <w:rPr>
          <w:rFonts w:ascii="Times New Roman" w:hAnsi="Times New Roman"/>
          <w:sz w:val="28"/>
        </w:rPr>
        <w:t> </w:t>
      </w:r>
      <w:r>
        <w:rPr>
          <w:rStyle w:val="1"/>
          <w:rFonts w:ascii="Times New Roman" w:hAnsi="Times New Roman"/>
          <w:sz w:val="28"/>
        </w:rPr>
        <w:t>календарных дней.</w:t>
      </w:r>
    </w:p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3.18. Включение в существующие на предприятиях программы обучения по охране труда мероприятий по организации обучения руководителей и специалистов по вопросам противодействия ВИЧ-СПИДу на рабочих местах.</w:t>
      </w:r>
    </w:p>
    <w:p>
      <w:pPr>
        <w:pStyle w:val="ConsPlusNormal2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 сфере социальной и правовой защиты молодежи,</w:t>
      </w:r>
    </w:p>
    <w:p>
      <w:pPr>
        <w:pStyle w:val="ConsPlusNormal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укрепления семьи, заботы о материнстве и детстве</w:t>
      </w:r>
    </w:p>
    <w:p>
      <w:pPr>
        <w:pStyle w:val="ConsPlusNormal2"/>
        <w:spacing w:lineRule="auto" w:line="12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spacing w:lineRule="auto" w:line="12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 Обеспечение гарантий и расширение прав молодежи и женщин на обучение, труд, достойную заработную плату, участие в управлении производством, на отдых.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 Выделение рабочих мест с неполной занятостью, гибкими формами работы,  свободным графиком, надомным видом труда для обеспечения совмещения женщинами обязанностей по воспитанию детей с трудовой занятостью.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 Разработка положений по работе с молодежью, в том числе направленных на предоставление мер социальной защиты молодежи.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 Разработка дополнительных мер социальной защиты женщин.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4.5. Предоставление за счет средств работодателей возможности повышения квалификации и дальнейшего обучения молодежи.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 Предоставление условий для профессионального обучения и переобучения женщин, имеющих перерывы в трудовой деятельности, вызванные необходимостью ухода за детьми.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4.7. Выделение финансовых средств на: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оплату санаторно-курортного лечения и оздоровления работников и членов их семей, проведение диспансеризаций в целях профилактики и выявления заболеваний (в том числе профессиональных) на ранних стадиях,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оплату лечения детей, выплату пособий женщинам, находящимся в отпуске по уходу за детьми в возрасте от 1,5 лет до 3 лет;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организацию отдыха и оздоровления работников  и членов их семей;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поощрение работников, ведущих здоровый образ жизни, в том числе отказавшихся от табакокурения, а также лиц, ответственных за проведение физкультурной работы в организациях;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организацию досуга, культурно-массовую работу, развитие физкультуры и спорта в трудовых коллективах, выделение помещений для занятий физической культурой;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материальной и иной помощи семьям, имеющим несовершеннолетних детей, многодетным, одиноким родителям, неработающим пенсионерам;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дополнительное медицинское страхование работников;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культурно-массовой работы;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необходимых условий для занятия физической культурой и спортом работников непосредственно на предприятиях либо приобретение абонементов в спортивные залы и спортивные комплексы;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организацию вакцинации работников, формирование здорового образа жизни и профилактику социально значимых и инфекционных заболеваний;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оздоровление детей работников в организациях отдыха детей и их оздоровления загородного стационарного типа.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4.8. Развитие системы наставничества, обеспечивающей преемственность поколений, сохранение накопленного профессионального опыта, в целях закрепления рабочих кадров на производстве.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4.9. Организацию трудовой адаптации молодых работников, поступивших</w:t>
        <w:br/>
        <w:t>на работу после окончания учебных заведений, а также прошедших профессиональное обучение на производстве (доплаты, возможность установления пониженных норм выработки, наставничество и др.)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4.10. Создание молодежных советов в организации, содействие их работе</w:t>
        <w:br/>
        <w:t>с оказанием организационной и финансовой поддержки.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4.11. Рассмотрение иных дополнительных мер, направленных на социальную поддержку молодых специалистов. 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4.12. Исключение в случае реорганизации организации высвобождения работников, имеющих трех и более детей, работников, имеющих ребенка-инвалида, работников, являющихся родителями-одиночками.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4.13.  Предоставление с учетом финансовой возможности организации: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порядке, установленном коллективным договором организации, мер материальной поддержки и социального обеспечения выпускникам профессиональных образовательных организаций при поступлении их на работу в организацию, молодым работникам, а также лицам, возвратившимся на работу после службы в армии, в том числе: беспроцентных ссуд, кредитов на улучшение жилищных условий, приобретение бытовой и оргтехники;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дополнительных льгот и преимуществ для беременных женщин, женщин, имеющих несовершеннолетних детей, многодетных, одиноких родителей (опекунам, попечителям несовершеннолетних детей), семей, воспитывающих детей-инвалидов: единовременные пособия при рождении детей, гибкий график работы, дистанционный график работы, дополнительный отпуск в связи со значимыми семейным событиями, предоставление ежегодного отпуска в удобное для них время, оказание помощи в обучении детей, частичную  или полную компенсацию стоимости содержания детей работников в дошкольных образовательных учреждениях;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женщинам, имеющим детей в возрасте до 14 лет, еженедельно не менее 2 часов свободного времени или одного свободного дня в месяц с сохранением заработной платы;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молодым работникам, не имеющим собственного жилья, общежития или ежемесячной компенсации затрат на аренду жилья, льготные ссуды, кредиты на приобретение или строительство жилья;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единовременных пособий молодым работникам из категории детей-сирот, впервые принятым на работу, а также работникам, вернувшимся на предприятие после прохождения срочной военной службы и/или другим категориям;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дополнительного оплачиваемого отпуска продолжительностью от 3-х дней для работающих женщин, имеющих ребенка (детей) в возрасте до трех лет;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материальную помощь молодым семьям при рождении ребенка</w:t>
        <w:br/>
        <w:t>и при поступлении ребенка в первый класс.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4.14. Создание условий для осуществления работы с учетом специфики производства в дистанционном режиме для женщин, имеющих детей в возрасте</w:t>
        <w:br/>
        <w:t>до 7-ми лет;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4.15. Установление молодым работникам: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дополнительных социальных гарантий при получении образования без отрыва от производства;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условий для повышения квалификации и получения дополнительной специальности. </w:t>
      </w:r>
    </w:p>
    <w:p>
      <w:pPr>
        <w:pStyle w:val="ConsPlusNormal2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Normal2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 сфере развития социального партнерства</w:t>
      </w:r>
    </w:p>
    <w:p>
      <w:pPr>
        <w:pStyle w:val="ConsPlusNormal2"/>
        <w:spacing w:before="220" w:after="0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Разработка предложений по реализации прав работников на участие</w:t>
        <w:br/>
        <w:t>в управлении организацией.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Предоставление председателю первичной профсоюзной организации</w:t>
        <w:br/>
        <w:t>или его заместителю права участия в оперативных совещаниях и заседаниях правления организации с правом совещательного голоса в соответствии</w:t>
        <w:br/>
        <w:t>с уставными документами или коллективным договором.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Сохранение или расширение мер социальной поддержки работников, содержащихся в действующем коллективном договоре (соглашении),</w:t>
        <w:br/>
        <w:t>при разработке и заключении нового договора (соглашения).</w:t>
      </w:r>
    </w:p>
    <w:p>
      <w:pPr>
        <w:pStyle w:val="ConsPlusNormal2"/>
        <w:spacing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Создание условий для участия трудовых коллективов и организаций</w:t>
        <w:br/>
        <w:t>в федеральных, региональных и муниципальных мероприятиях и конкурсах социально-трудовой направленности.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5.5. Установление периодичности подведения итогов выполнения коллективного договора, соглашения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567" w:gutter="0" w:header="0" w:top="1134" w:footer="709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  <w:font w:name="Tahoma"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2"/>
    <w:uiPriority w:val="9"/>
    <w:qFormat/>
    <w:pPr>
      <w:widowControl/>
      <w:bidi w:val="0"/>
      <w:spacing w:lineRule="auto" w:line="276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3"/>
    <w:uiPriority w:val="9"/>
    <w:qFormat/>
    <w:pPr>
      <w:widowControl/>
      <w:bidi w:val="0"/>
      <w:spacing w:lineRule="auto" w:line="276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bidi w:val="0"/>
      <w:spacing w:lineRule="auto" w:line="276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lineRule="auto" w:line="276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lineRule="auto" w:line="276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link w:val="112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Style9" w:customStyle="1">
    <w:name w:val="Знак"/>
    <w:basedOn w:val="1"/>
    <w:link w:val="15"/>
    <w:qFormat/>
    <w:rPr>
      <w:rFonts w:ascii="Times New Roman" w:hAnsi="Times New Roman"/>
      <w:b/>
      <w:color w:val="000000"/>
      <w:sz w:val="28"/>
    </w:rPr>
  </w:style>
  <w:style w:type="character" w:styleId="11" w:customStyle="1">
    <w:name w:val="Основной шрифт абзаца1"/>
    <w:link w:val="111"/>
    <w:qFormat/>
    <w:rPr/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10" w:customStyle="1">
    <w:name w:val="Верхний колонтитул Знак"/>
    <w:basedOn w:val="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21" w:customStyle="1">
    <w:name w:val="Гиперссылка2"/>
    <w:link w:val="211"/>
    <w:qFormat/>
    <w:rPr>
      <w:color w:val="0000FF"/>
      <w:u w:val="single"/>
    </w:rPr>
  </w:style>
  <w:style w:type="character" w:styleId="Endnote" w:customStyle="1">
    <w:name w:val="Endnote"/>
    <w:link w:val="Endnote1"/>
    <w:qFormat/>
    <w:rPr>
      <w:rFonts w:ascii="XO Thames" w:hAnsi="XO Thames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1" w:customStyle="1">
    <w:name w:val="Нижний колонтитул Знак"/>
    <w:basedOn w:val="1"/>
    <w:qFormat/>
    <w:rPr/>
  </w:style>
  <w:style w:type="character" w:styleId="ConsPlusNormal1" w:customStyle="1">
    <w:name w:val="ConsPlusNormal1"/>
    <w:link w:val="ConsPlusNormal11"/>
    <w:qFormat/>
    <w:rPr>
      <w:rFonts w:ascii="Calibri" w:hAnsi="Calibri"/>
      <w:color w:val="000000"/>
      <w:sz w:val="22"/>
    </w:rPr>
  </w:style>
  <w:style w:type="character" w:styleId="ConsPlusNormal" w:customStyle="1">
    <w:name w:val="ConsPlusNormal"/>
    <w:link w:val="ConsPlusNormal2"/>
    <w:qFormat/>
    <w:rPr>
      <w:rFonts w:ascii="Calibri" w:hAnsi="Calibri"/>
    </w:rPr>
  </w:style>
  <w:style w:type="character" w:styleId="ConsPlusTitlePage" w:customStyle="1">
    <w:name w:val="ConsPlusTitlePage"/>
    <w:link w:val="ConsPlusTitlePage1"/>
    <w:qFormat/>
    <w:rPr>
      <w:rFonts w:ascii="Tahoma" w:hAnsi="Tahoma"/>
      <w:sz w:val="20"/>
    </w:rPr>
  </w:style>
  <w:style w:type="character" w:styleId="Style12" w:customStyle="1">
    <w:name w:val="Текст выноски Знак"/>
    <w:basedOn w:val="1"/>
    <w:link w:val="BalloonText"/>
    <w:qFormat/>
    <w:rPr>
      <w:rFonts w:ascii="Tahoma" w:hAnsi="Tahoma"/>
      <w:sz w:val="16"/>
    </w:rPr>
  </w:style>
  <w:style w:type="character" w:styleId="ConsPlusTextList" w:customStyle="1">
    <w:name w:val="ConsPlusTextList"/>
    <w:link w:val="ConsPlusTextList1"/>
    <w:qFormat/>
    <w:rPr>
      <w:rFonts w:ascii="Arial" w:hAnsi="Arial"/>
      <w:sz w:val="20"/>
    </w:rPr>
  </w:style>
  <w:style w:type="character" w:styleId="ConsPlusNonformat" w:customStyle="1">
    <w:name w:val="ConsPlusNonformat"/>
    <w:link w:val="ConsPlusNonformat1"/>
    <w:qFormat/>
    <w:rPr>
      <w:rFonts w:ascii="Courier New" w:hAnsi="Courier New"/>
      <w:sz w:val="20"/>
    </w:rPr>
  </w:style>
  <w:style w:type="character" w:styleId="ConsPlusTitle" w:customStyle="1">
    <w:name w:val="ConsPlusTitle"/>
    <w:link w:val="ConsPlusTitle1"/>
    <w:qFormat/>
    <w:rPr>
      <w:rFonts w:ascii="Calibri" w:hAnsi="Calibri"/>
      <w:b/>
    </w:rPr>
  </w:style>
  <w:style w:type="character" w:styleId="ConsPlusJurTerm" w:customStyle="1">
    <w:name w:val="ConsPlusJurTerm"/>
    <w:link w:val="ConsPlusJurTerm1"/>
    <w:qFormat/>
    <w:rPr>
      <w:rFonts w:ascii="Tahoma" w:hAnsi="Tahoma"/>
      <w:sz w:val="26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13" w:customStyle="1">
    <w:name w:val="Гиперссылка1"/>
    <w:link w:val="113"/>
    <w:qFormat/>
    <w:rPr>
      <w:color w:val="0000FF"/>
      <w:u w:val="single"/>
    </w:rPr>
  </w:style>
  <w:style w:type="character" w:styleId="Hyperlink">
    <w:name w:val="Hyperlink"/>
    <w:link w:val="32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</w:rPr>
  </w:style>
  <w:style w:type="character" w:styleId="14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Pr>
      <w:rFonts w:ascii="XO Thames" w:hAnsi="XO Thames"/>
      <w:sz w:val="28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ConsPlusDocList" w:customStyle="1">
    <w:name w:val="ConsPlusDocList"/>
    <w:link w:val="ConsPlusDocList1"/>
    <w:qFormat/>
    <w:rPr>
      <w:rFonts w:ascii="Calibri" w:hAnsi="Calibri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3" w:customStyle="1">
    <w:name w:val="Подзаголовок Знак"/>
    <w:qFormat/>
    <w:rPr>
      <w:rFonts w:ascii="XO Thames" w:hAnsi="XO Thames"/>
      <w:i/>
      <w:sz w:val="24"/>
    </w:rPr>
  </w:style>
  <w:style w:type="character" w:styleId="ConsPlusCell" w:customStyle="1">
    <w:name w:val="ConsPlusCell"/>
    <w:link w:val="ConsPlusCell1"/>
    <w:qFormat/>
    <w:rPr>
      <w:rFonts w:ascii="Courier New" w:hAnsi="Courier New"/>
      <w:sz w:val="20"/>
    </w:rPr>
  </w:style>
  <w:style w:type="character" w:styleId="Style14" w:customStyle="1">
    <w:name w:val="Название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Основной текст 2 Знак"/>
    <w:basedOn w:val="1"/>
    <w:link w:val="BodyText2"/>
    <w:qFormat/>
    <w:rPr>
      <w:rFonts w:ascii="Times New Roman" w:hAnsi="Times New Roman"/>
      <w:sz w:val="20"/>
    </w:rPr>
  </w:style>
  <w:style w:type="character" w:styleId="23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link w:val="2"/>
    <w:uiPriority w:val="39"/>
    <w:pPr>
      <w:widowControl/>
      <w:bidi w:val="0"/>
      <w:spacing w:lineRule="auto" w:line="276" w:before="0" w:after="20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5" w:customStyle="1">
    <w:name w:val="Знак1"/>
    <w:basedOn w:val="Normal"/>
    <w:link w:val="Style9"/>
    <w:qFormat/>
    <w:pPr>
      <w:spacing w:lineRule="exact" w:line="240" w:before="0" w:after="160"/>
    </w:pPr>
    <w:rPr>
      <w:rFonts w:ascii="Times New Roman" w:hAnsi="Times New Roman"/>
      <w:b/>
      <w:sz w:val="28"/>
    </w:rPr>
  </w:style>
  <w:style w:type="paragraph" w:styleId="111" w:customStyle="1">
    <w:name w:val="Основной шрифт абзаца11"/>
    <w:link w:val="1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bidi w:val="0"/>
      <w:spacing w:lineRule="auto" w:line="276" w:before="0" w:after="20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link w:val="HeaderandFooter"/>
    <w:qFormat/>
    <w:pPr>
      <w:widowControl/>
      <w:bidi w:val="0"/>
      <w:spacing w:lineRule="auto" w:line="240" w:before="0" w:after="200"/>
      <w:jc w:val="both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link w:val="Style1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bidi w:val="0"/>
      <w:spacing w:lineRule="auto" w:line="276" w:before="0" w:after="20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bidi w:val="0"/>
      <w:spacing w:lineRule="auto" w:line="276" w:before="0" w:after="20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1" w:customStyle="1">
    <w:name w:val="Гиперссылка21"/>
    <w:link w:val="2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Endnote1" w:customStyle="1">
    <w:name w:val="Endnote1"/>
    <w:link w:val="Endnote"/>
    <w:qFormat/>
    <w:pPr>
      <w:widowControl/>
      <w:bidi w:val="0"/>
      <w:spacing w:lineRule="auto" w:line="276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Footer">
    <w:name w:val="footer"/>
    <w:basedOn w:val="Normal"/>
    <w:link w:val="Style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12" w:customStyle="1">
    <w:name w:val="Обычный11"/>
    <w:link w:val="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ConsPlusNormal11" w:customStyle="1">
    <w:name w:val="ConsPlusNormal11"/>
    <w:link w:val="ConsPlusNormal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ConsPlusNormal2" w:customStyle="1">
    <w:name w:val="ConsPlusNormal2"/>
    <w:link w:val="ConsPlusNormal"/>
    <w:qFormat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ConsPlusTitlePage1" w:customStyle="1">
    <w:name w:val="ConsPlusTitlePage1"/>
    <w:link w:val="ConsPlusTitlePage"/>
    <w:qFormat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2"/>
    <w:qFormat/>
    <w:pPr>
      <w:spacing w:lineRule="auto" w:line="240" w:before="0" w:after="0"/>
    </w:pPr>
    <w:rPr>
      <w:rFonts w:ascii="Tahoma" w:hAnsi="Tahoma"/>
      <w:sz w:val="16"/>
    </w:rPr>
  </w:style>
  <w:style w:type="paragraph" w:styleId="ConsPlusTextList1" w:customStyle="1">
    <w:name w:val="ConsPlusTextList1"/>
    <w:link w:val="ConsPlusTextList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4" w:customStyle="1">
    <w:name w:val="Основной шрифт абзаца2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ConsPlusNonformat1" w:customStyle="1">
    <w:name w:val="ConsPlusNonformat1"/>
    <w:link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Title1" w:customStyle="1">
    <w:name w:val="ConsPlusTitle1"/>
    <w:link w:val="ConsPlusTitle"/>
    <w:qFormat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ConsPlusJurTerm1" w:customStyle="1">
    <w:name w:val="ConsPlusJurTerm1"/>
    <w:link w:val="ConsPlusJurTerm"/>
    <w:qFormat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pPr>
      <w:widowControl/>
      <w:bidi w:val="0"/>
      <w:spacing w:lineRule="auto" w:line="276" w:before="0" w:after="20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3" w:customStyle="1">
    <w:name w:val="Гиперссылка11"/>
    <w:link w:val="13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32" w:customStyle="1">
    <w:name w:val="Гиперссылка3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bidi w:val="0"/>
      <w:spacing w:lineRule="auto" w:line="276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4"/>
    <w:uiPriority w:val="39"/>
    <w:pPr>
      <w:widowControl/>
      <w:bidi w:val="0"/>
      <w:spacing w:lineRule="auto" w:line="276" w:before="0" w:after="20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bidi w:val="0"/>
      <w:spacing w:lineRule="auto" w:line="276" w:before="0" w:after="20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bidi w:val="0"/>
      <w:spacing w:lineRule="auto" w:line="276" w:before="0" w:after="20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DocList1" w:customStyle="1">
    <w:name w:val="ConsPlusDocList1"/>
    <w:link w:val="ConsPlusDocList"/>
    <w:qFormat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bidi w:val="0"/>
      <w:spacing w:lineRule="auto" w:line="276" w:before="0" w:after="20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3"/>
    <w:uiPriority w:val="11"/>
    <w:qFormat/>
    <w:pPr>
      <w:widowControl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ConsPlusCell1" w:customStyle="1">
    <w:name w:val="ConsPlusCell1"/>
    <w:link w:val="ConsPlusCell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itle">
    <w:name w:val="Title"/>
    <w:next w:val="Normal"/>
    <w:link w:val="Style14"/>
    <w:uiPriority w:val="10"/>
    <w:qFormat/>
    <w:pPr>
      <w:widowControl/>
      <w:bidi w:val="0"/>
      <w:spacing w:lineRule="auto" w:line="276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odyText2">
    <w:name w:val="Body Text 2"/>
    <w:basedOn w:val="Normal"/>
    <w:link w:val="22"/>
    <w:qFormat/>
    <w:pPr>
      <w:spacing w:lineRule="auto" w:line="240" w:before="0" w:after="0"/>
      <w:jc w:val="center"/>
    </w:pPr>
    <w:rPr>
      <w:rFonts w:ascii="Times New Roman" w:hAnsi="Times New Roman"/>
      <w:sz w:val="20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7</Pages>
  <Words>2215</Words>
  <Characters>16404</Characters>
  <CharactersWithSpaces>18528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2025-08-13T09:08:00Z</dcterms:created>
  <dc:creator>Заярская О.Ю.</dc:creator>
  <dc:description/>
  <dc:language>ru-RU</dc:language>
  <cp:lastModifiedBy>Trud</cp:lastModifiedBy>
  <cp:lastPrinted>2025-07-02T16:56:00Z</cp:lastPrinted>
  <dcterms:modified xsi:type="dcterms:W3CDTF">2025-08-13T09:08:00Z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