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  <w:iCs/>
        </w:rPr>
      </w:pPr>
      <w:bookmarkStart w:id="0" w:name="_GoBack"/>
      <w:bookmarkEnd w:id="0"/>
      <w:r>
        <w:rPr/>
        <w:t xml:space="preserve">                                                               </w:t>
      </w:r>
    </w:p>
    <w:tbl>
      <w:tblPr>
        <w:tblW w:w="3827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27"/>
      </w:tblGrid>
      <w:tr>
        <w:trPr>
          <w:trHeight w:val="327" w:hRule="atLeast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Председатель Комитета по управлению имуществом Администрации города Новошахтинска-Председатель комиссии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(должность)</w:t>
            </w:r>
          </w:p>
        </w:tc>
      </w:tr>
      <w:tr>
        <w:trPr>
          <w:trHeight w:val="155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Авраменко Татьяна Григорьевна</w:t>
            </w:r>
          </w:p>
        </w:tc>
      </w:tr>
      <w:tr>
        <w:trPr>
          <w:trHeight w:val="476" w:hRule="atLeast"/>
        </w:trPr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24 января 2025г.</w:t>
            </w:r>
          </w:p>
        </w:tc>
      </w:tr>
      <w:tr>
        <w:trPr>
          <w:trHeight w:val="195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  <w:sz w:val="16"/>
              </w:rPr>
            </w:pPr>
            <w:r>
              <w:rPr>
                <w:i/>
                <w:sz w:val="16"/>
              </w:rPr>
              <w:t>(дата)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>
          <w:sz w:val="36"/>
          <w:szCs w:val="36"/>
        </w:rPr>
      </w:pPr>
      <w:r>
        <w:rPr>
          <w:lang w:val="ru-RU"/>
        </w:rPr>
        <w:t xml:space="preserve">Протокол </w:t>
      </w:r>
      <w:r>
        <w:rPr/>
        <w:t xml:space="preserve">№ </w:t>
      </w:r>
      <w:r>
        <w:rPr>
          <w:rFonts w:cs="Arial"/>
        </w:rPr>
        <w:t>U190305-</w:t>
      </w:r>
      <w:r>
        <w:rPr>
          <w:rFonts w:cs="Arial"/>
          <w:lang w:val="ru-RU"/>
        </w:rPr>
        <w:t xml:space="preserve">2 </w:t>
      </w:r>
      <w:r>
        <w:rPr>
          <w:lang w:val="ru-RU"/>
        </w:rPr>
        <w:t xml:space="preserve">о </w:t>
      </w:r>
      <w:r>
        <w:rPr>
          <w:rFonts w:ascii="Times New Roman" w:hAnsi="Times New Roman"/>
          <w:bCs w:val="false"/>
          <w:kern w:val="0"/>
          <w:sz w:val="36"/>
          <w:szCs w:val="36"/>
          <w:lang w:val="ru-RU" w:eastAsia="ru-RU"/>
        </w:rPr>
        <w:t xml:space="preserve"> результатах  аукциона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37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</w:tblGrid>
      <w:tr>
        <w:trPr/>
        <w:tc>
          <w:tcPr>
            <w:tcW w:w="379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Cs/>
              </w:rPr>
            </w:pPr>
            <w:r>
              <w:rPr>
                <w:lang w:val="en-US"/>
              </w:rPr>
              <w:t>24.01.2025 14:28:52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(дата и время формирования протокола)</w:t>
            </w:r>
          </w:p>
        </w:tc>
      </w:tr>
    </w:tbl>
    <w:p>
      <w:pPr>
        <w:pStyle w:val="Normal"/>
        <w:tabs>
          <w:tab w:val="clear" w:pos="720"/>
          <w:tab w:val="left" w:pos="7845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845" w:leader="none"/>
        </w:tabs>
        <w:rPr>
          <w:iCs/>
        </w:rPr>
      </w:pPr>
      <w:r>
        <w:rPr>
          <w:b/>
        </w:rPr>
        <w:tab/>
      </w:r>
    </w:p>
    <w:p>
      <w:pPr>
        <w:pStyle w:val="Normal"/>
        <w:jc w:val="both"/>
        <w:rPr/>
      </w:pPr>
      <w:r>
        <w:rPr>
          <w:b/>
          <w:spacing w:val="-2"/>
        </w:rPr>
        <w:t xml:space="preserve">1.  Предмет аукциона в электронной форме: </w:t>
      </w:r>
      <w:r>
        <w:rPr>
          <w:spacing w:val="-2"/>
        </w:rPr>
        <w:t>Размещение нестационарного торгового объекта по адресу: г. Новошахтинск, ул. Советской Конституции, 15-б, ул. Магистральная (за торговым павильоном "Пятачок" по ул. Магистральной, 1-р), ул. Советской Конституции (площадка около павильона по ул. Советской Конституции, 13-г), ул. Базарная, 35-г..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Ростовская, Новошахтинск, Харьковская, 133, Почтовый адрес: 346900, Российская Федерация, Ростовская обл., г. Новошахтинск, ул. Харьковская, 133.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</w:rPr>
      </w:pPr>
      <w:r>
        <w:rPr>
          <w:b/>
        </w:rPr>
        <w:t>4. Лоты аукциона в электронной форме: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76"/>
        <w:gridCol w:w="3285"/>
        <w:gridCol w:w="3287"/>
      </w:tblGrid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Конституции, 15-б.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53 752,00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Магистральная (за торговым павильоном "Пятачок" по ул. Магистральной, 1-р)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7 601,00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 ( площадка около павильона по ул. Советской Конституции, 13-г)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26 062,00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Базарная, 35-г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17 917,00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bookmarkStart w:id="1" w:name="OLE_LINK6"/>
            <w:bookmarkStart w:id="2" w:name="OLE_LINK5"/>
            <w:bookmarkEnd w:id="1"/>
            <w:bookmarkEnd w:id="2"/>
            <w:r>
              <w:rPr/>
              <w:t>Не состоялся- 1 заявка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</w:rPr>
      </w:pPr>
      <w:r>
        <w:rPr>
          <w:i/>
        </w:rPr>
      </w:r>
    </w:p>
    <w:p>
      <w:pPr>
        <w:pStyle w:val="Normal"/>
        <w:jc w:val="both"/>
        <w:rPr/>
      </w:pPr>
      <w:r>
        <w:rPr/>
        <w:t>5. Извещение о проведении аукциона в электронной форме и документация по проведению аукциона в электронной форме размещены на Официальном сайте Российской Федерации в информационно-телекоммуникационной сети «Интернет» www.torgi.gov.ru и Электронной площадке РТС-тендер i.rts-tender.ru процедура №  190305.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3070"/>
        <w:gridCol w:w="3071"/>
        <w:gridCol w:w="3213"/>
      </w:tblGrid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Крылова Юлия Сергеевна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7. </w:t>
      </w:r>
      <w:r>
        <w:rPr>
          <w:spacing w:val="-2"/>
        </w:rPr>
        <w:t xml:space="preserve"> На момент окончания срока подачи заявок на участие в </w:t>
      </w:r>
      <w:r>
        <w:rPr/>
        <w:t xml:space="preserve">аукционе </w:t>
      </w:r>
      <w:r>
        <w:rPr>
          <w:spacing w:val="-2"/>
        </w:rPr>
        <w:t xml:space="preserve">в электронной форме </w:t>
      </w:r>
      <w:r>
        <w:rPr/>
        <w:t>23.01.2025 17:00:00 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485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5"/>
        <w:gridCol w:w="2392"/>
        <w:gridCol w:w="2391"/>
        <w:gridCol w:w="2278"/>
      </w:tblGrid>
      <w:tr>
        <w:trPr>
          <w:trHeight w:val="544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Магистральная (за торговым павильоном "Пятачок" по ул. Магистральной, 1-р)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Трифонова Екатерина Михайловна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615109672436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445086/601710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 ( площадка около павильона по ул. Советской Конституции, 13-г)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ГИЕНКО МИХАИЛ БОРИСОВИЧ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615100427133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444896/601475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Базарная, 35-г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МЕЛЬНИКОВ АНДРЕЙ ВАСИЛЬЕВИЧ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615100112648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444903/601485</w:t>
            </w:r>
          </w:p>
        </w:tc>
      </w:tr>
    </w:tbl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>
          <w:bCs/>
        </w:rPr>
        <w:t xml:space="preserve">8. </w:t>
      </w:r>
      <w:r>
        <w:rPr/>
        <w:t xml:space="preserve"> Допустить к дальнейшему участию в процедуре следующих участников: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Номер лота / 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2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</w:t>
            </w:r>
            <w:r>
              <w:rPr>
                <w:lang w:val="en-US"/>
              </w:rPr>
              <w:t>Магистральная (за торговым павильоном "Пятачок" по ул. Магистральной, 1-р)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Трифонова Екатерина Михайловна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445086/601710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23.01.2025 10:07:47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 ( площадка около павильона по ул. Советской Конституции, 13-г)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ГИЕНКО МИХАИЛ БОРИСОВИЧ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444896/601475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22.01.2025 17:34:45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4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</w:t>
            </w:r>
            <w:r>
              <w:rPr>
                <w:lang w:val="en-US"/>
              </w:rPr>
              <w:t>Базарная, 35-г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МЕЛЬНИКОВ АНДРЕЙ ВАСИЛЬЕВИЧ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444903/601485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22.01.2025 18:00:23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9. </w:t>
      </w:r>
      <w:r>
        <w:rPr/>
        <w:t xml:space="preserve"> На основании протокола №  </w:t>
      </w:r>
      <w:r>
        <w:rPr>
          <w:lang w:val="en-US"/>
        </w:rPr>
        <w:t>U</w:t>
      </w:r>
      <w:r>
        <w:rPr/>
        <w:t>190305-1  о допуске участников торгов к участию в аукционе от 24.01.2025  аукцион признан не состоявшимся по причине подачи единственной заявки  на участие в аукционе на 2,3 и 4 лоты.</w:t>
      </w:r>
    </w:p>
    <w:p>
      <w:pPr>
        <w:pStyle w:val="Normal"/>
        <w:jc w:val="both"/>
        <w:rPr/>
      </w:pPr>
      <w:r>
        <w:rPr/>
        <w:t>10.  Аукцион по лоту № 1 не состоялся, по причине отсутствия поданных заявок. Принято решение о проведении повторных торгов.</w:t>
      </w:r>
    </w:p>
    <w:p>
      <w:pPr>
        <w:pStyle w:val="Normal"/>
        <w:jc w:val="both"/>
        <w:rPr>
          <w:b/>
        </w:rPr>
      </w:pPr>
      <w:r>
        <w:rPr/>
        <w:t xml:space="preserve">11. </w:t>
      </w:r>
      <w:r>
        <w:rPr>
          <w:b/>
        </w:rPr>
        <w:t>Комиссией принято следующее решение:</w:t>
      </w:r>
    </w:p>
    <w:p>
      <w:pPr>
        <w:pStyle w:val="Normal"/>
        <w:rPr/>
      </w:pPr>
      <w:r>
        <w:rPr/>
        <w:t>-Заключить договор на право размещение НТО по лоту № 2 с единственным участником Трифоновой  Екатериной Михайловной</w:t>
      </w:r>
      <w:r>
        <w:rPr>
          <w:b/>
          <w:sz w:val="28"/>
          <w:szCs w:val="28"/>
        </w:rPr>
        <w:t xml:space="preserve"> </w:t>
      </w:r>
      <w:r>
        <w:rPr/>
        <w:t>по начальной  цене  предмета аукциона –  годовой  размер платы на размещение НТО составляет:  7601,00   (Семь тысяч шестьсот один рубль ) 00 коп.;</w:t>
      </w:r>
    </w:p>
    <w:p>
      <w:pPr>
        <w:pStyle w:val="Normal"/>
        <w:rPr/>
      </w:pPr>
      <w:r>
        <w:rPr/>
        <w:t>- Заключить договор на право размещение НТО по лоту № 3 с единственным участником Гиенко Михаилом Борисовичем по</w:t>
      </w:r>
      <w:r>
        <w:rPr>
          <w:b/>
          <w:sz w:val="28"/>
          <w:szCs w:val="28"/>
        </w:rPr>
        <w:t xml:space="preserve"> </w:t>
      </w:r>
      <w:r>
        <w:rPr/>
        <w:t>начальной  цене  предмета аукциона –  годовой  размер платы на размещение НТО составляет:  26062,00   (Двадцать шесть тысяч шестьдесят два рубля )  00  коп;</w:t>
      </w:r>
    </w:p>
    <w:p>
      <w:pPr>
        <w:pStyle w:val="Normal"/>
        <w:rPr/>
      </w:pPr>
      <w:r>
        <w:rPr/>
        <w:t>-Заключить договор на право размещение НТО по лоту № 4 с единственным участником Мельниковым Андреем Васильевичем по</w:t>
      </w:r>
      <w:r>
        <w:rPr>
          <w:b/>
          <w:sz w:val="28"/>
          <w:szCs w:val="28"/>
        </w:rPr>
        <w:t xml:space="preserve"> </w:t>
      </w:r>
      <w:r>
        <w:rPr/>
        <w:t>начальной  цене  предмета аукциона –  годовой  размер платы на размещение НТО составляет:  17917,00   (Семнадцать тысяч девятьсот семнадцать рублей)  00  коп.</w:t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24"/>
        <w:gridCol w:w="2869"/>
        <w:gridCol w:w="3388"/>
      </w:tblGrid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</w:rPr>
            </w:pPr>
            <w:r>
              <w:rPr/>
              <w:t>Председатель комиссии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Преснякова Е.М.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Сетракян О.А.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Чеботаева С.В.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Соломенцева Т.В.</w:t>
            </w:r>
          </w:p>
        </w:tc>
      </w:tr>
    </w:tbl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4377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Hyperlink">
    <w:name w:val="Hyperlink"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</Pages>
  <Words>922</Words>
  <Characters>6334</Characters>
  <CharactersWithSpaces>7348</CharactersWithSpaces>
  <Paragraphs>132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2025-01-24T12:41:00Z</dcterms:created>
  <dc:creator>Андрей+Кирилл</dc:creator>
  <dc:description/>
  <dc:language>ru-RU</dc:language>
  <cp:lastModifiedBy>Пользователь</cp:lastModifiedBy>
  <cp:lastPrinted>2025-01-24T11:33:00Z</cp:lastPrinted>
  <dcterms:modified xsi:type="dcterms:W3CDTF">2025-01-24T12:41:00Z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