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r>
        <w:rPr/>
        <w:t xml:space="preserve">                                                               </w:t>
      </w:r>
    </w:p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01 октября 2024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  <w:t>(дата)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/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U176008-1</w:t>
      </w:r>
      <w:r>
        <w:rPr>
          <w:rFonts w:cs="Arial"/>
          <w:lang w:val="ru-RU"/>
        </w:rPr>
        <w:t xml:space="preserve"> </w:t>
      </w:r>
      <w:r>
        <w:rPr>
          <w:lang w:val="ru-RU"/>
        </w:rPr>
        <w:t>о допуске участников торгов к участию в аукционе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01.10.2024 15:07:59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Normal"/>
        <w:jc w:val="both"/>
        <w:rPr/>
      </w:pPr>
      <w:r>
        <w:rPr>
          <w:b/>
          <w:spacing w:val="-2"/>
        </w:rPr>
        <w:t xml:space="preserve">1.  Предмет аукциона в электронной форме: </w:t>
      </w:r>
      <w:r>
        <w:rPr>
          <w:spacing w:val="-2"/>
        </w:rPr>
        <w:t>право на размещение нестационарного торгового объекта:</w:t>
        <w:br/>
        <w:t>1.Ростовская обл., г. Новошахтинск, ул. Восточная, 12-б</w:t>
        <w:br/>
        <w:t>2. Ростовская обл., г. Новошахтинск, ул. Харьковская (площадка около аптеки по ул. Харьковской, 70-в со стороны жилых зданий).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объекта-Ростовская обл., г. Новошахтинск, ул. Восточная, 12-б.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37 057,00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32 577,00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0" w:name="OLE_LINK5"/>
            <w:bookmarkStart w:id="1" w:name="OLE_LINK6"/>
            <w:bookmarkEnd w:id="0"/>
            <w:bookmarkEnd w:id="1"/>
            <w:r>
              <w:rPr/>
              <w:t>Не состоялся- 1 заявка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>5. Извещение о проведении аукциона в электронной форме и документация по проведению аукциона в электронной форме размещены на Официальном сайте Российской Федерации в информационно-телекоммуникационной сети «Интернет» www.torgi.gov.ru и Электронной площадке РТС-тендер i.rts-tender.ru процедура №  176008.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0"/>
        <w:gridCol w:w="3072"/>
        <w:gridCol w:w="3212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8.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28.09.2024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объекта-Ростовская обл., г. Новошахтинск, ул. Восточная, 12-б.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Афонина Галина Сергеевна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615110216501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399054/539112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ЕСЮТИНА МАРИНА ВИКТОРОВНА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615109211509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399044/539101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/>
        <w:t>9</w:t>
      </w:r>
      <w:r>
        <w:rPr>
          <w:lang w:val="en-US"/>
        </w:rPr>
        <w:t>.</w:t>
      </w:r>
      <w:r>
        <w:rPr/>
        <w:t xml:space="preserve"> Отозванные заявки: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 xml:space="preserve"> 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10. 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10.1.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1 / право на размещение  нестационарного торгового объекта-Ростовская обл., г. Новошахтинск, ул. </w:t>
            </w:r>
            <w:r>
              <w:rPr>
                <w:lang w:val="en-US"/>
              </w:rPr>
              <w:t>Восточная, 12-б.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Афонина Галина Сергеевна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399054/539112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24.09.2024 14:52:35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ЕСЮТИНА МАРИНА ВИКТОРОВНА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399044/539101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24.09.2024 14:43:16</w:t>
            </w:r>
          </w:p>
        </w:tc>
      </w:tr>
    </w:tbl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/>
        <w:t>10.2. Отказать в допуске к дальнейшему участию в процедуре следующим участникам:</w:t>
      </w:r>
    </w:p>
    <w:p>
      <w:pPr>
        <w:pStyle w:val="Normal"/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2"/>
        <w:gridCol w:w="2870"/>
        <w:gridCol w:w="3387"/>
      </w:tblGrid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bookmarkStart w:id="2" w:name="_GoBack"/>
            <w:bookmarkEnd w:id="2"/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c136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InternetLink">
    <w:name w:val="Internet Link"/>
    <w:qFormat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LibreOffice/24.8.1.2$Linux_X86_64 LibreOffice_project/87fa9aec1a63e70835390b81c40bb8993f1d4ff6</Application>
  <AppVersion>15.0000</AppVersion>
  <Pages>5</Pages>
  <Words>639</Words>
  <Characters>4651</Characters>
  <CharactersWithSpaces>5329</CharactersWithSpaces>
  <Paragraphs>146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2024-10-01T12:12:00Z</dcterms:created>
  <dc:creator>Андрей+Кирилл</dc:creator>
  <dc:description/>
  <dc:language>ru-RU</dc:language>
  <cp:lastModifiedBy>Пользователь</cp:lastModifiedBy>
  <cp:lastPrinted>2010-12-16T07:47:00Z</cp:lastPrinted>
  <dcterms:modified xsi:type="dcterms:W3CDTF">2024-10-01T12:12:00Z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