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B9" w:rsidRDefault="00CB64B9" w:rsidP="00CB64B9">
      <w:pPr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D0D0D"/>
          <w:sz w:val="24"/>
          <w:szCs w:val="24"/>
        </w:rPr>
        <w:t>Приложение № 1</w:t>
      </w:r>
    </w:p>
    <w:p w:rsidR="00CB64B9" w:rsidRDefault="00CB64B9" w:rsidP="00CB64B9">
      <w:pPr>
        <w:spacing w:line="252" w:lineRule="auto"/>
        <w:ind w:left="8496" w:firstLine="708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к муниципальной программе </w:t>
      </w:r>
    </w:p>
    <w:p w:rsidR="00CB64B9" w:rsidRDefault="00CB64B9" w:rsidP="00CB64B9">
      <w:pPr>
        <w:spacing w:line="252" w:lineRule="auto"/>
        <w:ind w:left="9204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города Новошахтинска</w:t>
      </w:r>
    </w:p>
    <w:p w:rsidR="00CB64B9" w:rsidRDefault="00CB64B9" w:rsidP="00CB64B9">
      <w:pPr>
        <w:spacing w:line="252" w:lineRule="auto"/>
        <w:ind w:left="9204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«Управление муниципальными финансами»</w:t>
      </w:r>
    </w:p>
    <w:p w:rsidR="00CB64B9" w:rsidRDefault="00CB64B9" w:rsidP="00CB64B9">
      <w:pPr>
        <w:jc w:val="center"/>
        <w:rPr>
          <w:rFonts w:ascii="Arial" w:hAnsi="Arial" w:cs="Arial"/>
          <w:color w:val="0D0D0D"/>
          <w:sz w:val="24"/>
          <w:szCs w:val="24"/>
        </w:rPr>
      </w:pPr>
      <w:bookmarkStart w:id="1" w:name="Par400"/>
      <w:bookmarkEnd w:id="1"/>
    </w:p>
    <w:p w:rsidR="00CB64B9" w:rsidRDefault="00CB64B9" w:rsidP="00CB64B9">
      <w:pPr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Сведения о показателях (индикаторах)  программы,</w:t>
      </w:r>
    </w:p>
    <w:p w:rsidR="00CB64B9" w:rsidRDefault="00CB64B9" w:rsidP="00CB64B9">
      <w:pPr>
        <w:jc w:val="center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подпрограмм муниципальной программы</w:t>
      </w:r>
      <w:r>
        <w:rPr>
          <w:rFonts w:ascii="Arial" w:hAnsi="Arial" w:cs="Arial"/>
          <w:bCs/>
          <w:color w:val="0D0D0D"/>
          <w:sz w:val="24"/>
          <w:szCs w:val="24"/>
        </w:rPr>
        <w:t xml:space="preserve"> и их значениях</w:t>
      </w:r>
    </w:p>
    <w:p w:rsidR="00CB64B9" w:rsidRDefault="00CB64B9" w:rsidP="00CB64B9">
      <w:pPr>
        <w:jc w:val="center"/>
        <w:rPr>
          <w:rFonts w:ascii="Arial" w:hAnsi="Arial" w:cs="Arial"/>
          <w:bCs/>
          <w:color w:val="0D0D0D"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6"/>
        <w:gridCol w:w="994"/>
        <w:gridCol w:w="1417"/>
        <w:gridCol w:w="1419"/>
        <w:gridCol w:w="1417"/>
        <w:gridCol w:w="1275"/>
        <w:gridCol w:w="1559"/>
        <w:gridCol w:w="1418"/>
        <w:gridCol w:w="1417"/>
        <w:gridCol w:w="1418"/>
        <w:gridCol w:w="1417"/>
      </w:tblGrid>
      <w:tr w:rsidR="00CB64B9" w:rsidTr="00CB64B9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ind w:left="-675" w:firstLine="675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Показатель 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(индикатор)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Единица измерения</w:t>
            </w:r>
          </w:p>
        </w:tc>
        <w:tc>
          <w:tcPr>
            <w:tcW w:w="12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widowControl w:val="0"/>
              <w:tabs>
                <w:tab w:val="left" w:pos="1309"/>
                <w:tab w:val="left" w:pos="1876"/>
              </w:tabs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Значения показателей</w:t>
            </w:r>
          </w:p>
        </w:tc>
      </w:tr>
      <w:tr w:rsidR="00CB64B9" w:rsidTr="00CB64B9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rPr>
                <w:rFonts w:ascii="Arial" w:hAnsi="Arial" w:cs="Arial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rPr>
                <w:rFonts w:ascii="Arial" w:hAnsi="Arial" w:cs="Arial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rPr>
                <w:rFonts w:ascii="Arial" w:hAnsi="Arial" w:cs="Arial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2014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2015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2016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2018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2019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2020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год</w:t>
            </w:r>
          </w:p>
        </w:tc>
      </w:tr>
    </w:tbl>
    <w:p w:rsidR="00CB64B9" w:rsidRDefault="00CB64B9" w:rsidP="00CB64B9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6"/>
        <w:gridCol w:w="993"/>
        <w:gridCol w:w="1412"/>
        <w:gridCol w:w="1423"/>
        <w:gridCol w:w="1417"/>
        <w:gridCol w:w="1418"/>
        <w:gridCol w:w="1417"/>
        <w:gridCol w:w="1418"/>
        <w:gridCol w:w="1418"/>
        <w:gridCol w:w="1420"/>
        <w:gridCol w:w="1415"/>
      </w:tblGrid>
      <w:tr w:rsidR="00CB64B9" w:rsidTr="00CB64B9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ind w:left="-2804" w:right="-108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ab/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12</w:t>
            </w:r>
          </w:p>
        </w:tc>
      </w:tr>
      <w:tr w:rsidR="00CB64B9" w:rsidTr="00CB64B9">
        <w:trPr>
          <w:trHeight w:val="22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 w:rsidP="00EE3886">
            <w:pPr>
              <w:pStyle w:val="NoSpacing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Муниципальная программа города Новошахтинска «Управление муниципальными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финансами»</w:t>
            </w:r>
          </w:p>
        </w:tc>
      </w:tr>
      <w:tr w:rsidR="00CB64B9" w:rsidTr="00CB64B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да/нет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</w:tc>
      </w:tr>
      <w:tr w:rsidR="00CB64B9" w:rsidTr="00CB64B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Качество управления бюджетным процессом муниципального образования «Город Новошахтинск», определяемое министерством финансов Ростовской области</w:t>
            </w: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степень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I</w:t>
            </w:r>
          </w:p>
        </w:tc>
      </w:tr>
      <w:tr w:rsidR="00CB64B9" w:rsidTr="00CB64B9">
        <w:trPr>
          <w:trHeight w:val="22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 w:rsidP="00EE3886">
            <w:pPr>
              <w:pStyle w:val="NoSpacing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lastRenderedPageBreak/>
              <w:t>Подпрограмма №1. «Долгосрочное финансовое планирование»</w:t>
            </w:r>
          </w:p>
        </w:tc>
      </w:tr>
      <w:tr w:rsidR="00CB64B9" w:rsidTr="00CB64B9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Объем налоговых и неналоговых доходов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 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499 480,2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647 840,2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634 549,9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686 470,8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720 794,3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720 794,3</w:t>
            </w:r>
          </w:p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720 794,3</w:t>
            </w:r>
          </w:p>
        </w:tc>
      </w:tr>
      <w:tr w:rsidR="00CB64B9" w:rsidTr="00CB64B9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Доля расходов бюджета города, формируемых в рамках муниципальных программ, в общем объеме расходов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92</w:t>
            </w:r>
          </w:p>
        </w:tc>
      </w:tr>
      <w:tr w:rsidR="00CB64B9" w:rsidTr="00CB64B9">
        <w:trPr>
          <w:trHeight w:val="22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 w:rsidP="00EE38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Подпрограмма №2. «Нормативно-методическое обеспечение и организация бюджетного процесса»</w:t>
            </w:r>
          </w:p>
        </w:tc>
      </w:tr>
      <w:tr w:rsidR="00CB64B9" w:rsidTr="00CB64B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 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Исполнение расходных обязательств города Новошахтинска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92,1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≥ 95</w:t>
            </w:r>
          </w:p>
        </w:tc>
      </w:tr>
      <w:tr w:rsidR="00CB64B9" w:rsidTr="00CB64B9">
        <w:trPr>
          <w:trHeight w:val="22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9" w:rsidRDefault="00CB64B9" w:rsidP="00EE3886">
            <w:pPr>
              <w:pStyle w:val="NoSpacing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Подпрограмма №3  «Управление муниципальным долгом муниципального образования «Город Новошахтинск»</w:t>
            </w:r>
          </w:p>
        </w:tc>
      </w:tr>
      <w:tr w:rsidR="00CB64B9" w:rsidTr="00CB64B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Отношение объема муниципального дога муниципального образования к общему годовому объему доходов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бюджета города без учета объема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0</w:t>
            </w:r>
          </w:p>
        </w:tc>
      </w:tr>
      <w:tr w:rsidR="00CB64B9" w:rsidTr="00CB64B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Доля расходов на обслуживание муниципального долга города Новошахтинска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B9" w:rsidRDefault="00CB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&lt;1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</w:tr>
    </w:tbl>
    <w:p w:rsidR="00CB64B9" w:rsidRDefault="00CB64B9" w:rsidP="00CB64B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D0D0D"/>
          <w:sz w:val="24"/>
          <w:szCs w:val="24"/>
        </w:rPr>
      </w:pPr>
    </w:p>
    <w:p w:rsidR="00CB64B9" w:rsidRDefault="00CB64B9" w:rsidP="00CB64B9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color w:val="0D0D0D"/>
          <w:sz w:val="24"/>
          <w:szCs w:val="24"/>
        </w:rPr>
      </w:pPr>
    </w:p>
    <w:p w:rsidR="00CB64B9" w:rsidRDefault="00CB64B9" w:rsidP="00CB64B9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color w:val="0D0D0D"/>
          <w:sz w:val="24"/>
          <w:szCs w:val="24"/>
        </w:rPr>
      </w:pPr>
    </w:p>
    <w:p w:rsidR="00CB64B9" w:rsidRDefault="00CB64B9" w:rsidP="00CB64B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D0D0D"/>
          <w:sz w:val="24"/>
          <w:szCs w:val="24"/>
        </w:rPr>
      </w:pPr>
    </w:p>
    <w:p w:rsidR="00CB64B9" w:rsidRDefault="00CB64B9" w:rsidP="00CB64B9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Заместитель Главы</w:t>
      </w:r>
    </w:p>
    <w:p w:rsidR="00CB64B9" w:rsidRDefault="00CB64B9" w:rsidP="00CB64B9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lastRenderedPageBreak/>
        <w:t>Администрации города</w:t>
      </w:r>
      <w:r>
        <w:rPr>
          <w:rFonts w:ascii="Arial" w:hAnsi="Arial" w:cs="Arial"/>
          <w:color w:val="0D0D0D"/>
          <w:sz w:val="24"/>
          <w:szCs w:val="24"/>
        </w:rPr>
        <w:br/>
        <w:t>по социальным вопросам                                                                                                                                                     Е.И. Туркатова</w:t>
      </w:r>
    </w:p>
    <w:p w:rsidR="00CB64B9" w:rsidRDefault="00CB64B9" w:rsidP="00CB64B9">
      <w:pPr>
        <w:spacing w:line="252" w:lineRule="auto"/>
        <w:rPr>
          <w:rFonts w:ascii="Arial" w:hAnsi="Arial" w:cs="Arial"/>
          <w:color w:val="0D0D0D"/>
          <w:sz w:val="24"/>
          <w:szCs w:val="24"/>
        </w:rPr>
        <w:sectPr w:rsidR="00CB64B9">
          <w:pgSz w:w="16840" w:h="11907" w:orient="landscape"/>
          <w:pgMar w:top="1134" w:right="1134" w:bottom="567" w:left="1134" w:header="720" w:footer="720" w:gutter="0"/>
          <w:cols w:space="720"/>
        </w:sectPr>
      </w:pPr>
    </w:p>
    <w:p w:rsidR="00E66428" w:rsidRDefault="00E66428"/>
    <w:sectPr w:rsidR="00E66428" w:rsidSect="00CB6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1033"/>
    <w:multiLevelType w:val="hybridMultilevel"/>
    <w:tmpl w:val="D8A61838"/>
    <w:lvl w:ilvl="0" w:tplc="102CAF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CD"/>
    <w:rsid w:val="00CB64B9"/>
    <w:rsid w:val="00E6642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6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CB64B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6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CB64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2013-10-22T10:21:00Z</dcterms:created>
  <dcterms:modified xsi:type="dcterms:W3CDTF">2013-10-22T10:21:00Z</dcterms:modified>
</cp:coreProperties>
</file>