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B" w:rsidRPr="00E6601B" w:rsidRDefault="00E6601B" w:rsidP="00E6601B">
      <w:pPr>
        <w:widowControl w:val="0"/>
        <w:suppressAutoHyphens/>
        <w:autoSpaceDE w:val="0"/>
        <w:spacing w:after="0" w:line="240" w:lineRule="auto"/>
        <w:ind w:left="7371"/>
        <w:rPr>
          <w:rFonts w:ascii="Arial" w:eastAsia="Arial" w:hAnsi="Arial" w:cs="Arial"/>
          <w:sz w:val="24"/>
          <w:szCs w:val="24"/>
          <w:lang w:eastAsia="hi-IN" w:bidi="hi-IN"/>
        </w:rPr>
      </w:pPr>
      <w:r w:rsidRPr="00E6601B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 2                                                                                                                                            </w:t>
      </w:r>
    </w:p>
    <w:p w:rsidR="00E6601B" w:rsidRPr="00E6601B" w:rsidRDefault="00E6601B" w:rsidP="00E6601B">
      <w:pPr>
        <w:suppressAutoHyphens/>
        <w:spacing w:after="0" w:line="240" w:lineRule="auto"/>
        <w:ind w:left="7371"/>
        <w:rPr>
          <w:rFonts w:ascii="Arial" w:eastAsia="Times New Roman" w:hAnsi="Arial" w:cs="Arial"/>
          <w:sz w:val="24"/>
          <w:szCs w:val="24"/>
          <w:lang w:eastAsia="ar-SA"/>
        </w:rPr>
      </w:pPr>
      <w:r w:rsidRPr="00E6601B">
        <w:rPr>
          <w:rFonts w:ascii="Arial" w:eastAsia="Times New Roman" w:hAnsi="Arial" w:cs="Arial"/>
          <w:sz w:val="24"/>
          <w:szCs w:val="24"/>
          <w:lang w:eastAsia="ar-SA"/>
        </w:rPr>
        <w:t>к отчету о реализации  Муниципальной целевой программы</w:t>
      </w:r>
    </w:p>
    <w:p w:rsidR="00E6601B" w:rsidRPr="00E6601B" w:rsidRDefault="00E6601B" w:rsidP="00E6601B">
      <w:pPr>
        <w:suppressAutoHyphens/>
        <w:spacing w:after="0" w:line="240" w:lineRule="auto"/>
        <w:ind w:left="7371"/>
        <w:rPr>
          <w:rFonts w:ascii="Arial" w:eastAsia="Times New Roman" w:hAnsi="Arial" w:cs="Arial"/>
          <w:sz w:val="24"/>
          <w:szCs w:val="24"/>
          <w:lang w:eastAsia="ar-SA"/>
        </w:rPr>
      </w:pPr>
      <w:r w:rsidRPr="00E6601B">
        <w:rPr>
          <w:rFonts w:ascii="Arial" w:eastAsia="Times New Roman" w:hAnsi="Arial" w:cs="Arial"/>
          <w:sz w:val="24"/>
          <w:szCs w:val="24"/>
          <w:lang w:eastAsia="ar-SA"/>
        </w:rPr>
        <w:t xml:space="preserve">«Энергосбережение и повышение энергетической эффективности </w:t>
      </w:r>
    </w:p>
    <w:p w:rsidR="00E6601B" w:rsidRPr="00E6601B" w:rsidRDefault="00E6601B" w:rsidP="00E6601B">
      <w:pPr>
        <w:suppressAutoHyphens/>
        <w:spacing w:after="0" w:line="240" w:lineRule="auto"/>
        <w:ind w:left="7371"/>
        <w:rPr>
          <w:rFonts w:ascii="Arial" w:eastAsia="Times New Roman" w:hAnsi="Arial" w:cs="Arial"/>
          <w:sz w:val="24"/>
          <w:szCs w:val="24"/>
          <w:lang w:eastAsia="ar-SA"/>
        </w:rPr>
      </w:pPr>
      <w:r w:rsidRPr="00E6601B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города Новошахтинска на период до 2020 года»  </w:t>
      </w:r>
    </w:p>
    <w:p w:rsidR="00E6601B" w:rsidRPr="00E6601B" w:rsidRDefault="00E6601B" w:rsidP="00E6601B">
      <w:pPr>
        <w:suppressAutoHyphens/>
        <w:spacing w:after="0" w:line="240" w:lineRule="auto"/>
        <w:ind w:left="7371"/>
        <w:rPr>
          <w:rFonts w:ascii="Arial" w:eastAsia="Times New Roman" w:hAnsi="Arial" w:cs="Arial"/>
          <w:sz w:val="24"/>
          <w:szCs w:val="24"/>
          <w:lang w:eastAsia="ar-SA"/>
        </w:rPr>
      </w:pPr>
      <w:r w:rsidRPr="00E6601B">
        <w:rPr>
          <w:rFonts w:ascii="Arial" w:eastAsia="Times New Roman" w:hAnsi="Arial" w:cs="Arial"/>
          <w:sz w:val="24"/>
          <w:szCs w:val="24"/>
          <w:lang w:eastAsia="ar-SA"/>
        </w:rPr>
        <w:t>за 2012 год, за весь период  действия программы</w:t>
      </w:r>
    </w:p>
    <w:p w:rsidR="00E6601B" w:rsidRPr="00E6601B" w:rsidRDefault="00E6601B" w:rsidP="00E6601B">
      <w:pPr>
        <w:suppressAutoHyphens/>
        <w:spacing w:after="0" w:line="240" w:lineRule="auto"/>
        <w:ind w:left="8222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E6601B" w:rsidRPr="00E6601B" w:rsidRDefault="00E6601B" w:rsidP="00E6601B">
      <w:pPr>
        <w:suppressAutoHyphens/>
        <w:spacing w:after="0" w:line="240" w:lineRule="auto"/>
        <w:ind w:left="8222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E6601B" w:rsidRPr="00E6601B" w:rsidRDefault="00E6601B" w:rsidP="00E6601B">
      <w:pPr>
        <w:suppressAutoHyphens/>
        <w:spacing w:after="0" w:line="240" w:lineRule="auto"/>
        <w:ind w:left="8222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E6601B" w:rsidRPr="00E6601B" w:rsidRDefault="00E6601B" w:rsidP="00E6601B">
      <w:pPr>
        <w:suppressAutoHyphens/>
        <w:spacing w:after="0" w:line="240" w:lineRule="auto"/>
        <w:ind w:left="8222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</w:p>
    <w:p w:rsidR="00E6601B" w:rsidRPr="00E6601B" w:rsidRDefault="00E6601B" w:rsidP="00E6601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hi-IN" w:bidi="hi-IN"/>
        </w:rPr>
      </w:pPr>
      <w:r w:rsidRPr="00E6601B">
        <w:rPr>
          <w:rFonts w:ascii="Arial" w:eastAsia="Arial" w:hAnsi="Arial" w:cs="Arial"/>
          <w:sz w:val="24"/>
          <w:szCs w:val="24"/>
          <w:lang w:eastAsia="hi-IN" w:bidi="hi-IN"/>
        </w:rPr>
        <w:t>Информация</w:t>
      </w:r>
    </w:p>
    <w:p w:rsidR="00E6601B" w:rsidRPr="00E6601B" w:rsidRDefault="00E6601B" w:rsidP="00E6601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hi-IN" w:bidi="hi-IN"/>
        </w:rPr>
      </w:pPr>
      <w:r w:rsidRPr="00E6601B">
        <w:rPr>
          <w:rFonts w:ascii="Arial" w:eastAsia="Arial" w:hAnsi="Arial" w:cs="Arial"/>
          <w:sz w:val="24"/>
          <w:szCs w:val="24"/>
          <w:lang w:eastAsia="hi-IN" w:bidi="hi-IN"/>
        </w:rPr>
        <w:t>об оценке эффективности реализации программы</w:t>
      </w:r>
    </w:p>
    <w:p w:rsidR="00E6601B" w:rsidRPr="00E6601B" w:rsidRDefault="00E6601B" w:rsidP="00E6601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hi-IN" w:bidi="hi-IN"/>
        </w:rPr>
      </w:pPr>
      <w:r w:rsidRPr="00E6601B">
        <w:rPr>
          <w:rFonts w:ascii="Arial" w:eastAsia="Arial" w:hAnsi="Arial" w:cs="Arial"/>
          <w:sz w:val="24"/>
          <w:szCs w:val="24"/>
          <w:lang w:eastAsia="hi-IN" w:bidi="hi-IN"/>
        </w:rPr>
        <w:t xml:space="preserve">за отчетный 2012 финансовый год и за весь период реализации программы 2011-2020 годов </w:t>
      </w:r>
    </w:p>
    <w:p w:rsidR="00E6601B" w:rsidRPr="00E6601B" w:rsidRDefault="00E6601B" w:rsidP="00E6601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E6601B" w:rsidRPr="00E6601B" w:rsidRDefault="00E6601B" w:rsidP="00E6601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hi-IN" w:bidi="hi-I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393"/>
        <w:gridCol w:w="1086"/>
        <w:gridCol w:w="1074"/>
        <w:gridCol w:w="1074"/>
        <w:gridCol w:w="1074"/>
        <w:gridCol w:w="1074"/>
        <w:gridCol w:w="1074"/>
        <w:gridCol w:w="1074"/>
        <w:gridCol w:w="884"/>
        <w:gridCol w:w="1086"/>
        <w:gridCol w:w="824"/>
        <w:gridCol w:w="783"/>
      </w:tblGrid>
      <w:tr w:rsidR="00E6601B" w:rsidRPr="00E6601B" w:rsidTr="00CD2828">
        <w:trPr>
          <w:trHeight w:val="145"/>
        </w:trPr>
        <w:tc>
          <w:tcPr>
            <w:tcW w:w="917" w:type="dxa"/>
            <w:vMerge w:val="restart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№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 xml:space="preserve"> п/п</w:t>
            </w:r>
          </w:p>
        </w:tc>
        <w:tc>
          <w:tcPr>
            <w:tcW w:w="3393" w:type="dxa"/>
            <w:vMerge w:val="restart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Наименование показателей результативности</w:t>
            </w:r>
          </w:p>
        </w:tc>
        <w:tc>
          <w:tcPr>
            <w:tcW w:w="1086" w:type="dxa"/>
            <w:vMerge w:val="restart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Еди-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ница изме-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рения</w:t>
            </w:r>
          </w:p>
        </w:tc>
        <w:tc>
          <w:tcPr>
            <w:tcW w:w="4296" w:type="dxa"/>
            <w:gridSpan w:val="4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5725" w:type="dxa"/>
            <w:gridSpan w:val="6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Фактически достигнутые значения показателей</w:t>
            </w:r>
          </w:p>
        </w:tc>
      </w:tr>
      <w:tr w:rsidR="00E6601B" w:rsidRPr="00E6601B" w:rsidTr="00CD2828">
        <w:trPr>
          <w:cantSplit/>
          <w:trHeight w:val="2206"/>
        </w:trPr>
        <w:tc>
          <w:tcPr>
            <w:tcW w:w="917" w:type="dxa"/>
            <w:vMerge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3393" w:type="dxa"/>
            <w:vMerge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86" w:type="dxa"/>
            <w:vMerge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 xml:space="preserve">2011 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</w:t>
            </w:r>
          </w:p>
        </w:tc>
        <w:tc>
          <w:tcPr>
            <w:tcW w:w="107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 xml:space="preserve">2012 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 xml:space="preserve">2013 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2015-2020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годы</w:t>
            </w:r>
          </w:p>
        </w:tc>
        <w:tc>
          <w:tcPr>
            <w:tcW w:w="107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2011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-34" w:right="-181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Отклонение  от планового значения (процентов)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-34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(+,-)</w:t>
            </w:r>
          </w:p>
        </w:tc>
        <w:tc>
          <w:tcPr>
            <w:tcW w:w="88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2012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-34" w:right="-181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Отклонение  от планового значения (процентов)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(+,-)</w:t>
            </w:r>
          </w:p>
        </w:tc>
        <w:tc>
          <w:tcPr>
            <w:tcW w:w="824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2013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 xml:space="preserve"> год</w:t>
            </w:r>
          </w:p>
        </w:tc>
        <w:tc>
          <w:tcPr>
            <w:tcW w:w="783" w:type="dxa"/>
            <w:textDirection w:val="btLr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 xml:space="preserve">2015-2020 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hi-IN" w:bidi="hi-IN"/>
              </w:rPr>
              <w:t>годы</w:t>
            </w:r>
          </w:p>
        </w:tc>
      </w:tr>
    </w:tbl>
    <w:p w:rsidR="00E6601B" w:rsidRPr="00E6601B" w:rsidRDefault="00E6601B" w:rsidP="00E6601B">
      <w:pPr>
        <w:suppressAutoHyphens/>
        <w:spacing w:after="0" w:line="240" w:lineRule="auto"/>
        <w:rPr>
          <w:rFonts w:ascii="Arial" w:eastAsia="Arial" w:hAnsi="Arial" w:cs="Arial"/>
          <w:sz w:val="2"/>
          <w:szCs w:val="2"/>
          <w:lang w:eastAsia="hi-IN" w:bidi="hi-I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393"/>
        <w:gridCol w:w="1086"/>
        <w:gridCol w:w="1074"/>
        <w:gridCol w:w="1074"/>
        <w:gridCol w:w="1074"/>
        <w:gridCol w:w="1074"/>
        <w:gridCol w:w="1074"/>
        <w:gridCol w:w="1008"/>
        <w:gridCol w:w="66"/>
        <w:gridCol w:w="884"/>
        <w:gridCol w:w="1086"/>
        <w:gridCol w:w="824"/>
        <w:gridCol w:w="783"/>
      </w:tblGrid>
      <w:tr w:rsidR="00E6601B" w:rsidRPr="00E6601B" w:rsidTr="00CD2828">
        <w:trPr>
          <w:trHeight w:val="145"/>
          <w:tblHeader/>
        </w:trPr>
        <w:tc>
          <w:tcPr>
            <w:tcW w:w="917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13</w:t>
            </w:r>
          </w:p>
        </w:tc>
      </w:tr>
      <w:tr w:rsidR="00E6601B" w:rsidRPr="00E6601B" w:rsidTr="00CD2828">
        <w:trPr>
          <w:trHeight w:val="145"/>
        </w:trPr>
        <w:tc>
          <w:tcPr>
            <w:tcW w:w="15417" w:type="dxa"/>
            <w:gridSpan w:val="14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1.Целевые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Удельный расход тепловой энер-гии бюджетными учреждениями на 1 кв. м общей площади, расче-ты за которую осуществляются с использованием приборов учета 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Гкал/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0,183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0,177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0,172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0,113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0,28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0,18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0,17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0,11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Удельный расход тепловой энергии бюджетными учрежде-ниями на 1 кв. м общей площади, расчеты за которую осуществля-ются с применением расчетных способов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Гкал/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0,200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0,15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0,15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Изменение удельного расхода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тепловой энергии бюджетными учреждениями общей площади, расчеты за которую осуществля-ются с использованием приборов учета на 1 кв.м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lastRenderedPageBreak/>
              <w:t>Гкал/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lastRenderedPageBreak/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lastRenderedPageBreak/>
              <w:t>-0,006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-0,075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-0,001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-0,07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lastRenderedPageBreak/>
              <w:t>1.4.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отношения удельного расхода тепловой энергии бюд-жетными учреждениями, расчеты за которую осуществляются с применением расчетных спосо-бов, к удельному расходу тепло-вой энергии муниципальными учреждениями, расчеты за кото-рую осуществляются с использо-ванием приборов учета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1,095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1,89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0,79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1,2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1,2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Удельный расход воды на снаб-жение бюджетных учреждений, расчеты за которую осуществля-ются с использованием приборов учета на 1 чел.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 /</w:t>
            </w:r>
          </w:p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43,722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42,410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41,138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38,886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46,47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2,75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47,3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1,6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46,47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38,89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удельного расхода воды на обеспечение бюджетных учреждений, расчеты за которую осуществляются с использова-нием приборов учета на 1 чел.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 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чел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-1,352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-1,312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-1,272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-25,924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-1,2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-1,32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-1,2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-1,2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1.7.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Удельный расход электроэнергии на обеспечение бюджетных учреждений, расчеты за которую осуществляются с использова-нием приборов учета на 1 кв.м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кВтч/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40,412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39,199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38,023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27,240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74,8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72,2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620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74,8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27,8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1.8.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Удельный расход электроэнергии на обеспечение бюджетных учреждений, расчеты за которую осуществляются с применением расчетных способов на 1 кв.м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кВтч/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1,28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2,32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1,1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2,53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2,53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1.9.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удельного расхода электроэнергии на обеспечение бюджетных учреждений, расчеты за которую осуществляются с использованием приборов учета на 1 кв.м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кВтч/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-1,250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-1,212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-1,176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-18,160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1.10.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Изменение удельного расхода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электроэнергии на обеспечение муниципальных учреждений, расчеты за которую осуществля-ются с применением расчетных способов на 1 кв.м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кВтч/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1.11.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отношения удельного расхода электроэнергии на обеспечение бюджетных учреж-дений, расчеты за которую осуществляются с применением расчетных способов, к удельному расходу электроэнергии на обеспечение бюджетных учреж-дений, расчеты за которую осуществляются с использова-нием приборов учета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кВтч/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1.12.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 на территории муниципального образования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1.13.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тепловой энергии, потребляемой бюджетными 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муниципального образования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1.14.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воды, потребляе-мой бюджетными учреждениями, расчеты за которую осуществля-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ются с использованием приборов учета, в общем объеме воды, потребляемой бюджетными учреждениями на территории муниципального образования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1.15.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природного газа, потребляемого бюджетными учреждениями, расчеты за кото-рый осуществляются с исполь-зованием приборов учета, в общем объеме природного газа, потребляемого бюджетными учреждениями на территории муниципального образования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1.16.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Доля расходов бюджета города на обеспечение энергетическими ре-сурсами бюджетных учреждений 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1.16.1.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4,037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+4,02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4,02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+0,4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+4,02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4,037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1.16.2.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10,71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13,57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10,1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11,03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13,57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1.17.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Динамика расходов бюджета муниципального образования на обеспечение энергетическими ресурсами бюджетными учреж-дениями (для фактических и сопоставимых условий)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24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1.17.1.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ind w:right="-41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0,0004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1.17.2.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0,0031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0,0032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0,0034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0,003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0,003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ind w:right="-41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0,0032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0,004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1.18.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расходов бюджета города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00,158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0,0162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0,0167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0,021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0,553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0,553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0,553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0,718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1.19.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бюджетных  учреждений, финансируемых за счет бюджета города, в общем объеме бюджет-ных  учреждений, в отношении которых проведено обязательное энергетическое обследование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1.20.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1.21.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Доля государственных,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1.22.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1.23.</w:t>
            </w:r>
          </w:p>
        </w:tc>
        <w:tc>
          <w:tcPr>
            <w:tcW w:w="3393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Удельные расходы бюджета муниципального образования 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тыс.руб./ чел.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15,845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16,903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18,048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19,29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11,4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0,2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0,4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18,048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19,288</w:t>
            </w:r>
          </w:p>
        </w:tc>
      </w:tr>
      <w:tr w:rsidR="00E6601B" w:rsidRPr="00E6601B" w:rsidTr="00CD2828">
        <w:trPr>
          <w:trHeight w:val="145"/>
        </w:trPr>
        <w:tc>
          <w:tcPr>
            <w:tcW w:w="15417" w:type="dxa"/>
            <w:gridSpan w:val="14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2.Целевые показатели в области энергосбережения и повышения энергетической эффективности в коммунальной инфраструктуре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2.1.1.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2.1.2.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уд. расхода топлива на выработку тепловой энергии (далее - ТЭ)</w:t>
            </w:r>
          </w:p>
          <w:p w:rsidR="00E6601B" w:rsidRPr="00E6601B" w:rsidRDefault="00E6601B" w:rsidP="00E660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  <w:p w:rsidR="00E6601B" w:rsidRPr="00E6601B" w:rsidRDefault="00E6601B" w:rsidP="00E6601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 у.т./ Гкал</w:t>
            </w:r>
          </w:p>
        </w:tc>
        <w:tc>
          <w:tcPr>
            <w:tcW w:w="1074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-100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-100</w:t>
            </w:r>
          </w:p>
        </w:tc>
        <w:tc>
          <w:tcPr>
            <w:tcW w:w="1074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-280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-1800</w:t>
            </w:r>
          </w:p>
        </w:tc>
        <w:tc>
          <w:tcPr>
            <w:tcW w:w="1074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-410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-3500</w:t>
            </w:r>
          </w:p>
        </w:tc>
        <w:tc>
          <w:tcPr>
            <w:tcW w:w="1074" w:type="dxa"/>
            <w:vAlign w:val="bottom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-410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-3500</w:t>
            </w:r>
          </w:p>
        </w:tc>
        <w:tc>
          <w:tcPr>
            <w:tcW w:w="1074" w:type="dxa"/>
            <w:vAlign w:val="bottom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160</w:t>
            </w: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236,6</w:t>
            </w:r>
          </w:p>
        </w:tc>
        <w:tc>
          <w:tcPr>
            <w:tcW w:w="1074" w:type="dxa"/>
            <w:gridSpan w:val="2"/>
            <w:vAlign w:val="bottom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260</w:t>
            </w: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336,6</w:t>
            </w:r>
          </w:p>
        </w:tc>
        <w:tc>
          <w:tcPr>
            <w:tcW w:w="884" w:type="dxa"/>
            <w:vAlign w:val="bottom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160</w:t>
            </w: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236,6</w:t>
            </w:r>
          </w:p>
        </w:tc>
        <w:tc>
          <w:tcPr>
            <w:tcW w:w="1086" w:type="dxa"/>
            <w:vAlign w:val="bottom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260</w:t>
            </w: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336,6</w:t>
            </w:r>
          </w:p>
        </w:tc>
        <w:tc>
          <w:tcPr>
            <w:tcW w:w="824" w:type="dxa"/>
            <w:vAlign w:val="bottom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160</w:t>
            </w: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236,6</w:t>
            </w:r>
          </w:p>
        </w:tc>
        <w:tc>
          <w:tcPr>
            <w:tcW w:w="783" w:type="dxa"/>
            <w:vAlign w:val="bottom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</w:p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-240</w:t>
            </w:r>
          </w:p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-250,0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 ч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-0,035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0,109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0,199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0,109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0,199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0,109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-0,065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 куб.м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3138,12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29" w:hanging="48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2087,7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2129,25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859,572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1447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-1691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1447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-1691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1447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289,6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Динамика изменения объемов электрической энергии (далее - ЭЭ), используемой при передаче (транспортировке)  воды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 кВт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83" w:right="-12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4380,815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29" w:hanging="48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2887,289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2891,52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1199,962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3921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-459,8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3921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-459,8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3921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widowControl w:val="0"/>
              <w:suppressAutoHyphens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393,28</w:t>
            </w:r>
          </w:p>
        </w:tc>
      </w:tr>
      <w:tr w:rsidR="00E6601B" w:rsidRPr="00E6601B" w:rsidTr="00CD2828">
        <w:trPr>
          <w:trHeight w:val="145"/>
        </w:trPr>
        <w:tc>
          <w:tcPr>
            <w:tcW w:w="15417" w:type="dxa"/>
            <w:gridSpan w:val="14"/>
            <w:vAlign w:val="center"/>
          </w:tcPr>
          <w:p w:rsidR="00E6601B" w:rsidRPr="00E6601B" w:rsidRDefault="00E6601B" w:rsidP="00E6601B">
            <w:pPr>
              <w:widowControl w:val="0"/>
              <w:suppressAutoHyphens/>
              <w:spacing w:before="10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3.Целевые индикаторы и показатели в области энергосбережения и повышения энергетической эффективности в жилищном фонде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ЭЭ, потребляемой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 жилых домах (за исключением многоквартирных домов (далее -МКД)), расчеты за которую осу-ществляются с использованием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приборов учета, в общем объеме ЭЭ, потребляемой в жилых домах (за исключением многоквартирных домов) на территории муниципаль-ного образования (далее- МО)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ЭЭ, потребляемой в МКД, расчеты за которую осуществляются с использова-нием коллективных (общедо-мовых) приборов учета, в общем объеме ЭЭ, потребляемой в МКД на территории МО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-41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ЭЭ, потребляемой в МКД, оплата которой осущест-вляется с использованием инди-видуальных и общих (для комму-нальной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Доля объемов тепловой энергии (далее-ТЭ), потребляемой в жи-лых домах, расчеты за которую осуществляются с использова-нием приборов учета, в общем объеме ТЭ, потребляемой (используемой) в жилых домах на территории МО 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-43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-43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3.5.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ТЭ, потребляемой в  МКД, оплата которой осущест-вляется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-10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3.6.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Доля объемов воды, потребля-емой в жилых домах (за исключе-нием МКД), расчеты за которую осуществляются с использова-нием приборов учета, в общем объеме воды, потребляемой (используемой) в жилых домах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(за исключением МКД) на территории МО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94,57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-25,21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-28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-21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3.7.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воды, потребля-емой (используемой) в МКД, расчеты за которую осуществля-ются с использованием коллек-тивных (общедомовых) приборов учета, в общем объеме воды, потребляемой в МКД на терри-тории МО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46,79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-58,83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-49,4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3.8.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воды, потребля-емой (используемой) в МКД, расчеты за которую осуществля-ются с использованием индиви-дуальных и общих (для комму-нальной квартиры) приборов учета, в общем объеме воды, потребляемой (используемой) в МКД на территории МО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76,83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-67,48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3.9.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использова-нием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92,08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77,5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-8,69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77,5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-10,2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77,5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2184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3.10.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Доля объемов природного газа, потребляемого (используемого) в МКД, расчеты за который осуществляются с использова-нием индивидуальных и общих (для коммунальной квартиры) приборов учета, в общем объеме природного газа, потребляемого (используемого) в МКД на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территории МО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86,19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77,5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-8,69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77,5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-10,2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77,5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3.11.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Число жилых домов, в отношении которых проведено энергетичес-кое обследование (далее - ЭО)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-21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82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1,99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3,97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7,43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-1,99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-2,1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7,43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3.13.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Удельный (далее-уд.) расход ТЭ в жилых домах, расчеты за кото-рую осуществляются с использо-ванием приборов учета (в части МКД - с использованием коллек-тивных (общедомовых) приборов учета) (в расчете на 1 кв. м общей площади)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0,145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0,145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0,140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0,108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0,154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0,154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0,108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3.14.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Уд. расход ТЭ в жилых домах, расчеты за которую осуществля-ются с применением расчетных способов (нормативов потребле-ния) (в расчете на 1 кв. м общей площади)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0,172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-0,01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-0,02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3.15.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уд. расхода ТЭ в жилых домах, расчеты за кото-рую осуществляются с использо-ванием приборов учета (в части МКД - с использованием коллек-тивных (общедомовых) приборов учета) (в расчете на 1 кв. м общей площади)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3.15.1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57" w:right="-6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-0,108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0,012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0,012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0,012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-0,108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3.15.2.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57" w:right="-6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-0,010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-0,014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-0,019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-0,154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-0,154</w:t>
            </w:r>
          </w:p>
        </w:tc>
      </w:tr>
      <w:tr w:rsidR="00E6601B" w:rsidRPr="00E6601B" w:rsidTr="00CD2828">
        <w:trPr>
          <w:trHeight w:val="1311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3.16.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уд. расхода ТЭ в жи-лых домах, расчеты за которую осуществляются с применением расчетных способов (нормативов потребления) (в расчете на 1 кв.м общей площади)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3.16.1.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-0,172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0,178</w:t>
            </w: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3.16.2.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Гкал/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-0,174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-0,174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-0,174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-0,174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0,19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-0,174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3.17.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отношения уд. расхо-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 ТЭ в жилых домах, расчеты за которую осуществляются с при-менением расчетных способов (нормативов потребления), к уд. расходу ТЭ в жилых домах, расчеты за которую осуществля-ются с использованием приборов учета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3.17.1.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1,187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1,23</w:t>
            </w: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0,043</w:t>
            </w: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1,23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1,26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1,23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3.17.2.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1,118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1,13</w:t>
            </w: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0,012</w:t>
            </w: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1,13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1,13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3.18.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Уд. расход воды в жилых домах, расчеты за которую осуществля-ются с использованием приборов учета (в части МКД домов - с использованием коллективных (общедомовых) приборов учета) (в расчете на 1 кв. м общей площади)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0,746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0,913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0,923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0,961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-0,026</w:t>
            </w: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-0,03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0,961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3.19.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Уд. расход воды в жилых домах, расчеты за которую осуществля-ются с применением расчетных способов (нормативов потреб-ления) (в расчете на 1 кв. м об-щей площади)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0,081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0,137</w:t>
            </w: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0,056</w:t>
            </w: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0,137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0,137</w:t>
            </w:r>
          </w:p>
        </w:tc>
        <w:tc>
          <w:tcPr>
            <w:tcW w:w="78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3.20.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Изменение уд. расхода воды в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жилых домах, расчеты за кото-рую осуществляются с использо-ванием приборов учета (в части МКД - с использованием коллек-тивных (общедомовых) приборов учета) (в расчете на 1 кв. м общей площади для фактических и сопоставимых условий)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3.20.1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0,167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-0,961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-0,107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3.20.2.</w:t>
            </w:r>
          </w:p>
        </w:tc>
        <w:tc>
          <w:tcPr>
            <w:tcW w:w="3393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0,197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0,208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0,218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-0,715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0,039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-0,158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0,039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0,045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0,039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-0,179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Изменение уд. расхода воды в жилых домах, расчеты за которую осуществляются с применением расчетных способов (нормативов потребления) (в расчете на 1 кв. м общей площади для фактических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 сопоставимых условий)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3.21.1.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57" w:right="-6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-0,081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-0,032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-0,032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-0,041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-0,032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3.21.2.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57" w:right="-6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-0,042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0,137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-0,042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0,138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-0,042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отношения уд. расхо-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 воды в жилых домах, расчеты за которую осуществляются с применением расчетных спосо-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бов (нормативов потребления), к уд. расходу воды в жилых домах, расчеты за которую осуществля-ются с использованием приборов учета (для фактических и сопоста-вимых условий)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7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3.22.1.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0,109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0,244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0,135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0,244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0,156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0,244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3.22.2.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0,113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0,237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0,124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0,237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0,139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0,237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3.23.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Уд. расход ЭЭ в жилых домах, расчеты за которую осуществля-ются с использованием приборов учета (в части МКД - с использова-нием коллективных (общедомо-вых) приборов учета) (в расчете 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1 кв. м общей площади)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кВтч/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25,145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27,508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28,744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24,349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31,12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-13,15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31,12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-14,1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31,12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24,349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3.24.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Изменение уд. расхода ЭЭ в жи-лых домах, расчеты за которую </w:t>
            </w: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осуществляются с использова-нием приборов учета (в части многоквартирных домов - с ис-пользованием коллективных (общедомовых) приборов учета) (в расчете на 1 кв. м общей площади для фактических и сопоставимых условий)</w:t>
            </w:r>
          </w:p>
        </w:tc>
        <w:tc>
          <w:tcPr>
            <w:tcW w:w="1086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3.24.1.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кВтч/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2,364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1,236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1,288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-24,349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-11,8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-9,436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-11,8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-9,56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-11,8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-24,34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3.24.2.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кВтч/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9,205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10,441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11,728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-18,303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12,82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3,615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12,82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3,74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12,82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-18,30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3.25.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уд. расхода ЭЭ в жилых домах, расчеты за кото-рую осуществляются с примене-нием расчетных способов (нор-мативов потребления) (в расчете на 1 кв. м общей площади для фактических условий)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3.25.1.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кВтч/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3.25.2.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кВтч/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-1,136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-1,136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3.26.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Уд. расход природного газа в жилых домах, расчеты за кото-рый осуществляются с использо-ванием приборов учета (в части МКД - с использованием индиви-дуальных и общих (для комму-нальной квартиры) приборов учета) (в расчете на 1 кв. м общей площади)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0,032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0,030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0,031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0,042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0,033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0,033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0,033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0,042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3.27.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Уд. расход природного газа в жилых домах, расчеты за который осуществляются с применением расчетных способов (нормативов потребления) (в расчете на 1 кв. м общей площади)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0,004</w:t>
            </w:r>
          </w:p>
        </w:tc>
        <w:tc>
          <w:tcPr>
            <w:tcW w:w="1008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950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0,004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0,004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0,004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2098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3.28.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уд. расхода природ-ного газа в жилых домах, расче-ты за который осуществляются с использованием приборов учета (в части МКД - с использованием индивидуальных и общих (для коммунальной квартиры) прибо-ров учета) (в расчете на 1 кв. м общей площади 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3.28.1.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-0,042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-0,002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-0,042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3.28.2.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-0,007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-0,006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-0,005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-0,038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-0,006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-0,006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0,001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-0,006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-0,038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3.29.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уд. расхода природ-ного газа в жилых домах, расче-ты за который осуществляются с применением расчетных спосо-бов (нормативов потребления) (в расчете на 1 кв. м общей площа-ди для фактических и сопоста-вимых условий)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3.29.1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0,005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0,014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0,005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0,005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  <w:vAlign w:val="center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3.29.2.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тыс.куб.м/кв.м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-0,003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0,009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0,009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0,006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-0,003</w:t>
            </w:r>
          </w:p>
        </w:tc>
      </w:tr>
      <w:tr w:rsidR="00E6601B" w:rsidRPr="00E6601B" w:rsidTr="00CD2828">
        <w:trPr>
          <w:trHeight w:val="456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3.30.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Изменение отношения уд. расхо-</w:t>
            </w:r>
          </w:p>
          <w:p w:rsidR="00E6601B" w:rsidRPr="00E6601B" w:rsidRDefault="00E6601B" w:rsidP="00E6601B">
            <w:pPr>
              <w:suppressAutoHyphens/>
              <w:spacing w:after="0" w:line="240" w:lineRule="auto"/>
              <w:ind w:right="-15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да природного газа в жилых домах, расчеты за который осуществля-ются с применением расчетных способов (нормативов потребле-ния), к уд. расходу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3.30.1.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фактических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0,279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0,112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-0,167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0,112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-0,17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0,112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  <w:tr w:rsidR="00E6601B" w:rsidRPr="00E6601B" w:rsidTr="00CD2828">
        <w:trPr>
          <w:trHeight w:val="145"/>
        </w:trPr>
        <w:tc>
          <w:tcPr>
            <w:tcW w:w="917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3.30.2.</w:t>
            </w:r>
          </w:p>
        </w:tc>
        <w:tc>
          <w:tcPr>
            <w:tcW w:w="339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сопоставимых условий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0,234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0,000</w:t>
            </w:r>
          </w:p>
        </w:tc>
        <w:tc>
          <w:tcPr>
            <w:tcW w:w="107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0,099</w:t>
            </w:r>
          </w:p>
        </w:tc>
        <w:tc>
          <w:tcPr>
            <w:tcW w:w="1074" w:type="dxa"/>
            <w:gridSpan w:val="2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-0,135</w:t>
            </w:r>
          </w:p>
        </w:tc>
        <w:tc>
          <w:tcPr>
            <w:tcW w:w="88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0,099</w:t>
            </w:r>
          </w:p>
        </w:tc>
        <w:tc>
          <w:tcPr>
            <w:tcW w:w="1086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-0,14</w:t>
            </w:r>
          </w:p>
        </w:tc>
        <w:tc>
          <w:tcPr>
            <w:tcW w:w="824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0,099</w:t>
            </w:r>
          </w:p>
        </w:tc>
        <w:tc>
          <w:tcPr>
            <w:tcW w:w="783" w:type="dxa"/>
          </w:tcPr>
          <w:p w:rsidR="00E6601B" w:rsidRPr="00E6601B" w:rsidRDefault="00E6601B" w:rsidP="00E6601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6601B">
              <w:rPr>
                <w:rFonts w:ascii="Arial" w:eastAsia="Calibri" w:hAnsi="Arial" w:cs="Arial"/>
                <w:sz w:val="20"/>
                <w:szCs w:val="20"/>
                <w:lang w:eastAsia="ar-SA"/>
              </w:rPr>
              <w:t>0,00</w:t>
            </w:r>
          </w:p>
        </w:tc>
      </w:tr>
    </w:tbl>
    <w:p w:rsidR="00E6601B" w:rsidRPr="00E6601B" w:rsidRDefault="00E6601B" w:rsidP="00E660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601B" w:rsidRPr="00E6601B" w:rsidRDefault="00E6601B" w:rsidP="00E660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601B" w:rsidRPr="00E6601B" w:rsidRDefault="00E6601B" w:rsidP="00E6601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6601B">
        <w:rPr>
          <w:rFonts w:ascii="Arial" w:eastAsia="Times New Roman" w:hAnsi="Arial" w:cs="Arial"/>
          <w:sz w:val="24"/>
          <w:szCs w:val="24"/>
          <w:lang w:eastAsia="ar-SA"/>
        </w:rPr>
        <w:t xml:space="preserve">Управляющий делами Администрации города                                                                                                                      Ю.А. Лубенцов                                                                 </w:t>
      </w:r>
    </w:p>
    <w:p w:rsidR="00E6601B" w:rsidRPr="00E6601B" w:rsidRDefault="00E6601B" w:rsidP="00E6601B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85" w:rsidRDefault="00810485">
      <w:bookmarkStart w:id="0" w:name="_GoBack"/>
      <w:bookmarkEnd w:id="0"/>
    </w:p>
    <w:sectPr w:rsidR="00810485" w:rsidSect="00B813ED">
      <w:pgSz w:w="16840" w:h="11907" w:orient="landscape"/>
      <w:pgMar w:top="1134" w:right="851" w:bottom="62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97AFC"/>
    <w:multiLevelType w:val="hybridMultilevel"/>
    <w:tmpl w:val="D6E24208"/>
    <w:lvl w:ilvl="0" w:tplc="5920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1E8E"/>
    <w:multiLevelType w:val="hybridMultilevel"/>
    <w:tmpl w:val="B79A2E06"/>
    <w:lvl w:ilvl="0" w:tplc="6A98BB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7F"/>
    <w:rsid w:val="00810485"/>
    <w:rsid w:val="009D6F7F"/>
    <w:rsid w:val="00E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6601B"/>
  </w:style>
  <w:style w:type="paragraph" w:styleId="a3">
    <w:name w:val="header"/>
    <w:basedOn w:val="a"/>
    <w:link w:val="a4"/>
    <w:uiPriority w:val="99"/>
    <w:rsid w:val="00E66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6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66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6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60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660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6601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E6601B"/>
  </w:style>
  <w:style w:type="character" w:customStyle="1" w:styleId="Absatz-Standardschriftart">
    <w:name w:val="Absatz-Standardschriftart"/>
    <w:rsid w:val="00E6601B"/>
  </w:style>
  <w:style w:type="character" w:customStyle="1" w:styleId="WW-Absatz-Standardschriftart">
    <w:name w:val="WW-Absatz-Standardschriftart"/>
    <w:rsid w:val="00E6601B"/>
  </w:style>
  <w:style w:type="character" w:customStyle="1" w:styleId="WW8Num2z0">
    <w:name w:val="WW8Num2z0"/>
    <w:rsid w:val="00E6601B"/>
    <w:rPr>
      <w:rFonts w:ascii="Wingdings" w:hAnsi="Wingdings"/>
    </w:rPr>
  </w:style>
  <w:style w:type="character" w:customStyle="1" w:styleId="WW-Absatz-Standardschriftart1">
    <w:name w:val="WW-Absatz-Standardschriftart1"/>
    <w:rsid w:val="00E6601B"/>
  </w:style>
  <w:style w:type="character" w:customStyle="1" w:styleId="WW-Absatz-Standardschriftart11">
    <w:name w:val="WW-Absatz-Standardschriftart11"/>
    <w:rsid w:val="00E6601B"/>
  </w:style>
  <w:style w:type="character" w:customStyle="1" w:styleId="WW-Absatz-Standardschriftart111">
    <w:name w:val="WW-Absatz-Standardschriftart111"/>
    <w:rsid w:val="00E6601B"/>
  </w:style>
  <w:style w:type="character" w:customStyle="1" w:styleId="WW-Absatz-Standardschriftart1111">
    <w:name w:val="WW-Absatz-Standardschriftart1111"/>
    <w:rsid w:val="00E6601B"/>
  </w:style>
  <w:style w:type="character" w:customStyle="1" w:styleId="2">
    <w:name w:val="Основной шрифт абзаца2"/>
    <w:rsid w:val="00E6601B"/>
  </w:style>
  <w:style w:type="character" w:customStyle="1" w:styleId="WW-Absatz-Standardschriftart11111">
    <w:name w:val="WW-Absatz-Standardschriftart11111"/>
    <w:rsid w:val="00E6601B"/>
  </w:style>
  <w:style w:type="character" w:customStyle="1" w:styleId="WW8Num1z0">
    <w:name w:val="WW8Num1z0"/>
    <w:rsid w:val="00E6601B"/>
    <w:rPr>
      <w:rFonts w:ascii="Symbol" w:hAnsi="Symbol"/>
      <w:sz w:val="20"/>
    </w:rPr>
  </w:style>
  <w:style w:type="character" w:customStyle="1" w:styleId="WW8Num1z1">
    <w:name w:val="WW8Num1z1"/>
    <w:rsid w:val="00E6601B"/>
    <w:rPr>
      <w:rFonts w:ascii="Courier New" w:hAnsi="Courier New"/>
      <w:sz w:val="20"/>
    </w:rPr>
  </w:style>
  <w:style w:type="character" w:customStyle="1" w:styleId="WW8Num1z2">
    <w:name w:val="WW8Num1z2"/>
    <w:rsid w:val="00E6601B"/>
    <w:rPr>
      <w:rFonts w:ascii="Wingdings" w:hAnsi="Wingdings"/>
      <w:sz w:val="20"/>
    </w:rPr>
  </w:style>
  <w:style w:type="character" w:customStyle="1" w:styleId="WW8Num2z1">
    <w:name w:val="WW8Num2z1"/>
    <w:rsid w:val="00E6601B"/>
    <w:rPr>
      <w:rFonts w:ascii="Courier New" w:hAnsi="Courier New" w:cs="Courier New"/>
    </w:rPr>
  </w:style>
  <w:style w:type="character" w:customStyle="1" w:styleId="WW8Num2z3">
    <w:name w:val="WW8Num2z3"/>
    <w:rsid w:val="00E6601B"/>
    <w:rPr>
      <w:rFonts w:ascii="Symbol" w:hAnsi="Symbol"/>
    </w:rPr>
  </w:style>
  <w:style w:type="character" w:customStyle="1" w:styleId="WW8Num3z0">
    <w:name w:val="WW8Num3z0"/>
    <w:rsid w:val="00E6601B"/>
    <w:rPr>
      <w:rFonts w:ascii="Symbol" w:hAnsi="Symbol"/>
      <w:sz w:val="20"/>
    </w:rPr>
  </w:style>
  <w:style w:type="character" w:customStyle="1" w:styleId="WW8Num3z1">
    <w:name w:val="WW8Num3z1"/>
    <w:rsid w:val="00E6601B"/>
    <w:rPr>
      <w:rFonts w:ascii="Courier New" w:hAnsi="Courier New"/>
      <w:sz w:val="20"/>
    </w:rPr>
  </w:style>
  <w:style w:type="character" w:customStyle="1" w:styleId="WW8Num3z2">
    <w:name w:val="WW8Num3z2"/>
    <w:rsid w:val="00E6601B"/>
    <w:rPr>
      <w:rFonts w:ascii="Wingdings" w:hAnsi="Wingdings"/>
      <w:sz w:val="20"/>
    </w:rPr>
  </w:style>
  <w:style w:type="character" w:customStyle="1" w:styleId="WW8Num4z0">
    <w:name w:val="WW8Num4z0"/>
    <w:rsid w:val="00E6601B"/>
    <w:rPr>
      <w:rFonts w:ascii="Symbol" w:hAnsi="Symbol"/>
      <w:sz w:val="20"/>
    </w:rPr>
  </w:style>
  <w:style w:type="character" w:customStyle="1" w:styleId="WW8Num4z1">
    <w:name w:val="WW8Num4z1"/>
    <w:rsid w:val="00E6601B"/>
    <w:rPr>
      <w:rFonts w:ascii="Courier New" w:hAnsi="Courier New"/>
      <w:sz w:val="20"/>
    </w:rPr>
  </w:style>
  <w:style w:type="character" w:customStyle="1" w:styleId="WW8Num4z2">
    <w:name w:val="WW8Num4z2"/>
    <w:rsid w:val="00E6601B"/>
    <w:rPr>
      <w:rFonts w:ascii="Wingdings" w:hAnsi="Wingdings"/>
      <w:sz w:val="20"/>
    </w:rPr>
  </w:style>
  <w:style w:type="character" w:customStyle="1" w:styleId="WW8Num5z0">
    <w:name w:val="WW8Num5z0"/>
    <w:rsid w:val="00E6601B"/>
    <w:rPr>
      <w:rFonts w:ascii="Symbol" w:hAnsi="Symbol"/>
      <w:sz w:val="20"/>
    </w:rPr>
  </w:style>
  <w:style w:type="character" w:customStyle="1" w:styleId="WW8Num5z1">
    <w:name w:val="WW8Num5z1"/>
    <w:rsid w:val="00E6601B"/>
    <w:rPr>
      <w:rFonts w:ascii="Courier New" w:hAnsi="Courier New"/>
      <w:sz w:val="20"/>
    </w:rPr>
  </w:style>
  <w:style w:type="character" w:customStyle="1" w:styleId="WW8Num5z2">
    <w:name w:val="WW8Num5z2"/>
    <w:rsid w:val="00E6601B"/>
    <w:rPr>
      <w:rFonts w:ascii="Wingdings" w:hAnsi="Wingdings"/>
      <w:sz w:val="20"/>
    </w:rPr>
  </w:style>
  <w:style w:type="character" w:customStyle="1" w:styleId="WW8Num6z0">
    <w:name w:val="WW8Num6z0"/>
    <w:rsid w:val="00E6601B"/>
    <w:rPr>
      <w:rFonts w:ascii="Wingdings" w:hAnsi="Wingdings"/>
    </w:rPr>
  </w:style>
  <w:style w:type="character" w:customStyle="1" w:styleId="WW8Num6z1">
    <w:name w:val="WW8Num6z1"/>
    <w:rsid w:val="00E6601B"/>
    <w:rPr>
      <w:rFonts w:ascii="Courier New" w:hAnsi="Courier New" w:cs="Courier New"/>
    </w:rPr>
  </w:style>
  <w:style w:type="character" w:customStyle="1" w:styleId="WW8Num6z3">
    <w:name w:val="WW8Num6z3"/>
    <w:rsid w:val="00E6601B"/>
    <w:rPr>
      <w:rFonts w:ascii="Symbol" w:hAnsi="Symbol"/>
    </w:rPr>
  </w:style>
  <w:style w:type="character" w:customStyle="1" w:styleId="WW8Num7z0">
    <w:name w:val="WW8Num7z0"/>
    <w:rsid w:val="00E6601B"/>
    <w:rPr>
      <w:rFonts w:ascii="Symbol" w:hAnsi="Symbol"/>
      <w:sz w:val="20"/>
    </w:rPr>
  </w:style>
  <w:style w:type="character" w:customStyle="1" w:styleId="WW8Num7z1">
    <w:name w:val="WW8Num7z1"/>
    <w:rsid w:val="00E6601B"/>
    <w:rPr>
      <w:rFonts w:ascii="Courier New" w:hAnsi="Courier New"/>
      <w:sz w:val="20"/>
    </w:rPr>
  </w:style>
  <w:style w:type="character" w:customStyle="1" w:styleId="WW8Num7z2">
    <w:name w:val="WW8Num7z2"/>
    <w:rsid w:val="00E6601B"/>
    <w:rPr>
      <w:rFonts w:ascii="Wingdings" w:hAnsi="Wingdings"/>
      <w:sz w:val="20"/>
    </w:rPr>
  </w:style>
  <w:style w:type="character" w:customStyle="1" w:styleId="WW8Num8z0">
    <w:name w:val="WW8Num8z0"/>
    <w:rsid w:val="00E6601B"/>
    <w:rPr>
      <w:rFonts w:ascii="Symbol" w:hAnsi="Symbol"/>
      <w:sz w:val="20"/>
    </w:rPr>
  </w:style>
  <w:style w:type="character" w:customStyle="1" w:styleId="WW8Num8z1">
    <w:name w:val="WW8Num8z1"/>
    <w:rsid w:val="00E6601B"/>
    <w:rPr>
      <w:rFonts w:ascii="Courier New" w:hAnsi="Courier New"/>
      <w:sz w:val="20"/>
    </w:rPr>
  </w:style>
  <w:style w:type="character" w:customStyle="1" w:styleId="WW8Num8z2">
    <w:name w:val="WW8Num8z2"/>
    <w:rsid w:val="00E6601B"/>
    <w:rPr>
      <w:rFonts w:ascii="Wingdings" w:hAnsi="Wingdings"/>
      <w:sz w:val="20"/>
    </w:rPr>
  </w:style>
  <w:style w:type="character" w:customStyle="1" w:styleId="WW8Num9z0">
    <w:name w:val="WW8Num9z0"/>
    <w:rsid w:val="00E6601B"/>
    <w:rPr>
      <w:rFonts w:ascii="Symbol" w:hAnsi="Symbol"/>
      <w:sz w:val="20"/>
    </w:rPr>
  </w:style>
  <w:style w:type="character" w:customStyle="1" w:styleId="WW8Num9z1">
    <w:name w:val="WW8Num9z1"/>
    <w:rsid w:val="00E6601B"/>
    <w:rPr>
      <w:rFonts w:ascii="Courier New" w:hAnsi="Courier New"/>
      <w:sz w:val="20"/>
    </w:rPr>
  </w:style>
  <w:style w:type="character" w:customStyle="1" w:styleId="WW8Num9z2">
    <w:name w:val="WW8Num9z2"/>
    <w:rsid w:val="00E6601B"/>
    <w:rPr>
      <w:rFonts w:ascii="Wingdings" w:hAnsi="Wingdings"/>
      <w:sz w:val="20"/>
    </w:rPr>
  </w:style>
  <w:style w:type="character" w:customStyle="1" w:styleId="10">
    <w:name w:val="Основной шрифт абзаца1"/>
    <w:rsid w:val="00E6601B"/>
  </w:style>
  <w:style w:type="character" w:styleId="a8">
    <w:name w:val="Hyperlink"/>
    <w:rsid w:val="00E6601B"/>
    <w:rPr>
      <w:color w:val="0000FF"/>
      <w:u w:val="single"/>
    </w:rPr>
  </w:style>
  <w:style w:type="character" w:customStyle="1" w:styleId="a9">
    <w:name w:val="Символ нумерации"/>
    <w:rsid w:val="00E6601B"/>
  </w:style>
  <w:style w:type="character" w:customStyle="1" w:styleId="aa">
    <w:name w:val="Маркеры списка"/>
    <w:rsid w:val="00E6601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E6601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E66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66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E6601B"/>
    <w:rPr>
      <w:rFonts w:ascii="Arial" w:hAnsi="Arial" w:cs="Tahoma"/>
    </w:rPr>
  </w:style>
  <w:style w:type="paragraph" w:customStyle="1" w:styleId="20">
    <w:name w:val="Название2"/>
    <w:basedOn w:val="a"/>
    <w:rsid w:val="00E6601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E6601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E6601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6601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Subtitle"/>
    <w:basedOn w:val="a"/>
    <w:next w:val="ac"/>
    <w:link w:val="af0"/>
    <w:qFormat/>
    <w:rsid w:val="00E6601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6601B"/>
    <w:rPr>
      <w:rFonts w:ascii="Arial" w:eastAsia="Times New Roman" w:hAnsi="Arial" w:cs="Arial"/>
      <w:sz w:val="24"/>
      <w:szCs w:val="24"/>
      <w:lang w:eastAsia="ar-SA"/>
    </w:rPr>
  </w:style>
  <w:style w:type="paragraph" w:styleId="14">
    <w:name w:val="toc 1"/>
    <w:basedOn w:val="af"/>
    <w:next w:val="a"/>
    <w:rsid w:val="00E6601B"/>
    <w:pPr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E660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660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660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E6601B"/>
    <w:pPr>
      <w:suppressAutoHyphens/>
      <w:spacing w:before="51" w:after="51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af2">
    <w:name w:val="Содержимое врезки"/>
    <w:basedOn w:val="ac"/>
    <w:rsid w:val="00E6601B"/>
  </w:style>
  <w:style w:type="paragraph" w:styleId="af3">
    <w:name w:val="Balloon Text"/>
    <w:basedOn w:val="a"/>
    <w:link w:val="af4"/>
    <w:rsid w:val="00E6601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E6601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rsid w:val="00E6601B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E6601B"/>
    <w:rPr>
      <w:rFonts w:ascii="Arial" w:eastAsia="Times New Roman" w:hAnsi="Arial" w:cs="Arial"/>
      <w:sz w:val="24"/>
      <w:szCs w:val="24"/>
      <w:lang w:eastAsia="ar-SA"/>
    </w:rPr>
  </w:style>
  <w:style w:type="table" w:styleId="af7">
    <w:name w:val="Table Grid"/>
    <w:basedOn w:val="a1"/>
    <w:uiPriority w:val="59"/>
    <w:rsid w:val="00E6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6601B"/>
  </w:style>
  <w:style w:type="paragraph" w:styleId="a3">
    <w:name w:val="header"/>
    <w:basedOn w:val="a"/>
    <w:link w:val="a4"/>
    <w:uiPriority w:val="99"/>
    <w:rsid w:val="00E66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6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66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6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60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660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6601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E6601B"/>
  </w:style>
  <w:style w:type="character" w:customStyle="1" w:styleId="Absatz-Standardschriftart">
    <w:name w:val="Absatz-Standardschriftart"/>
    <w:rsid w:val="00E6601B"/>
  </w:style>
  <w:style w:type="character" w:customStyle="1" w:styleId="WW-Absatz-Standardschriftart">
    <w:name w:val="WW-Absatz-Standardschriftart"/>
    <w:rsid w:val="00E6601B"/>
  </w:style>
  <w:style w:type="character" w:customStyle="1" w:styleId="WW8Num2z0">
    <w:name w:val="WW8Num2z0"/>
    <w:rsid w:val="00E6601B"/>
    <w:rPr>
      <w:rFonts w:ascii="Wingdings" w:hAnsi="Wingdings"/>
    </w:rPr>
  </w:style>
  <w:style w:type="character" w:customStyle="1" w:styleId="WW-Absatz-Standardschriftart1">
    <w:name w:val="WW-Absatz-Standardschriftart1"/>
    <w:rsid w:val="00E6601B"/>
  </w:style>
  <w:style w:type="character" w:customStyle="1" w:styleId="WW-Absatz-Standardschriftart11">
    <w:name w:val="WW-Absatz-Standardschriftart11"/>
    <w:rsid w:val="00E6601B"/>
  </w:style>
  <w:style w:type="character" w:customStyle="1" w:styleId="WW-Absatz-Standardschriftart111">
    <w:name w:val="WW-Absatz-Standardschriftart111"/>
    <w:rsid w:val="00E6601B"/>
  </w:style>
  <w:style w:type="character" w:customStyle="1" w:styleId="WW-Absatz-Standardschriftart1111">
    <w:name w:val="WW-Absatz-Standardschriftart1111"/>
    <w:rsid w:val="00E6601B"/>
  </w:style>
  <w:style w:type="character" w:customStyle="1" w:styleId="2">
    <w:name w:val="Основной шрифт абзаца2"/>
    <w:rsid w:val="00E6601B"/>
  </w:style>
  <w:style w:type="character" w:customStyle="1" w:styleId="WW-Absatz-Standardschriftart11111">
    <w:name w:val="WW-Absatz-Standardschriftart11111"/>
    <w:rsid w:val="00E6601B"/>
  </w:style>
  <w:style w:type="character" w:customStyle="1" w:styleId="WW8Num1z0">
    <w:name w:val="WW8Num1z0"/>
    <w:rsid w:val="00E6601B"/>
    <w:rPr>
      <w:rFonts w:ascii="Symbol" w:hAnsi="Symbol"/>
      <w:sz w:val="20"/>
    </w:rPr>
  </w:style>
  <w:style w:type="character" w:customStyle="1" w:styleId="WW8Num1z1">
    <w:name w:val="WW8Num1z1"/>
    <w:rsid w:val="00E6601B"/>
    <w:rPr>
      <w:rFonts w:ascii="Courier New" w:hAnsi="Courier New"/>
      <w:sz w:val="20"/>
    </w:rPr>
  </w:style>
  <w:style w:type="character" w:customStyle="1" w:styleId="WW8Num1z2">
    <w:name w:val="WW8Num1z2"/>
    <w:rsid w:val="00E6601B"/>
    <w:rPr>
      <w:rFonts w:ascii="Wingdings" w:hAnsi="Wingdings"/>
      <w:sz w:val="20"/>
    </w:rPr>
  </w:style>
  <w:style w:type="character" w:customStyle="1" w:styleId="WW8Num2z1">
    <w:name w:val="WW8Num2z1"/>
    <w:rsid w:val="00E6601B"/>
    <w:rPr>
      <w:rFonts w:ascii="Courier New" w:hAnsi="Courier New" w:cs="Courier New"/>
    </w:rPr>
  </w:style>
  <w:style w:type="character" w:customStyle="1" w:styleId="WW8Num2z3">
    <w:name w:val="WW8Num2z3"/>
    <w:rsid w:val="00E6601B"/>
    <w:rPr>
      <w:rFonts w:ascii="Symbol" w:hAnsi="Symbol"/>
    </w:rPr>
  </w:style>
  <w:style w:type="character" w:customStyle="1" w:styleId="WW8Num3z0">
    <w:name w:val="WW8Num3z0"/>
    <w:rsid w:val="00E6601B"/>
    <w:rPr>
      <w:rFonts w:ascii="Symbol" w:hAnsi="Symbol"/>
      <w:sz w:val="20"/>
    </w:rPr>
  </w:style>
  <w:style w:type="character" w:customStyle="1" w:styleId="WW8Num3z1">
    <w:name w:val="WW8Num3z1"/>
    <w:rsid w:val="00E6601B"/>
    <w:rPr>
      <w:rFonts w:ascii="Courier New" w:hAnsi="Courier New"/>
      <w:sz w:val="20"/>
    </w:rPr>
  </w:style>
  <w:style w:type="character" w:customStyle="1" w:styleId="WW8Num3z2">
    <w:name w:val="WW8Num3z2"/>
    <w:rsid w:val="00E6601B"/>
    <w:rPr>
      <w:rFonts w:ascii="Wingdings" w:hAnsi="Wingdings"/>
      <w:sz w:val="20"/>
    </w:rPr>
  </w:style>
  <w:style w:type="character" w:customStyle="1" w:styleId="WW8Num4z0">
    <w:name w:val="WW8Num4z0"/>
    <w:rsid w:val="00E6601B"/>
    <w:rPr>
      <w:rFonts w:ascii="Symbol" w:hAnsi="Symbol"/>
      <w:sz w:val="20"/>
    </w:rPr>
  </w:style>
  <w:style w:type="character" w:customStyle="1" w:styleId="WW8Num4z1">
    <w:name w:val="WW8Num4z1"/>
    <w:rsid w:val="00E6601B"/>
    <w:rPr>
      <w:rFonts w:ascii="Courier New" w:hAnsi="Courier New"/>
      <w:sz w:val="20"/>
    </w:rPr>
  </w:style>
  <w:style w:type="character" w:customStyle="1" w:styleId="WW8Num4z2">
    <w:name w:val="WW8Num4z2"/>
    <w:rsid w:val="00E6601B"/>
    <w:rPr>
      <w:rFonts w:ascii="Wingdings" w:hAnsi="Wingdings"/>
      <w:sz w:val="20"/>
    </w:rPr>
  </w:style>
  <w:style w:type="character" w:customStyle="1" w:styleId="WW8Num5z0">
    <w:name w:val="WW8Num5z0"/>
    <w:rsid w:val="00E6601B"/>
    <w:rPr>
      <w:rFonts w:ascii="Symbol" w:hAnsi="Symbol"/>
      <w:sz w:val="20"/>
    </w:rPr>
  </w:style>
  <w:style w:type="character" w:customStyle="1" w:styleId="WW8Num5z1">
    <w:name w:val="WW8Num5z1"/>
    <w:rsid w:val="00E6601B"/>
    <w:rPr>
      <w:rFonts w:ascii="Courier New" w:hAnsi="Courier New"/>
      <w:sz w:val="20"/>
    </w:rPr>
  </w:style>
  <w:style w:type="character" w:customStyle="1" w:styleId="WW8Num5z2">
    <w:name w:val="WW8Num5z2"/>
    <w:rsid w:val="00E6601B"/>
    <w:rPr>
      <w:rFonts w:ascii="Wingdings" w:hAnsi="Wingdings"/>
      <w:sz w:val="20"/>
    </w:rPr>
  </w:style>
  <w:style w:type="character" w:customStyle="1" w:styleId="WW8Num6z0">
    <w:name w:val="WW8Num6z0"/>
    <w:rsid w:val="00E6601B"/>
    <w:rPr>
      <w:rFonts w:ascii="Wingdings" w:hAnsi="Wingdings"/>
    </w:rPr>
  </w:style>
  <w:style w:type="character" w:customStyle="1" w:styleId="WW8Num6z1">
    <w:name w:val="WW8Num6z1"/>
    <w:rsid w:val="00E6601B"/>
    <w:rPr>
      <w:rFonts w:ascii="Courier New" w:hAnsi="Courier New" w:cs="Courier New"/>
    </w:rPr>
  </w:style>
  <w:style w:type="character" w:customStyle="1" w:styleId="WW8Num6z3">
    <w:name w:val="WW8Num6z3"/>
    <w:rsid w:val="00E6601B"/>
    <w:rPr>
      <w:rFonts w:ascii="Symbol" w:hAnsi="Symbol"/>
    </w:rPr>
  </w:style>
  <w:style w:type="character" w:customStyle="1" w:styleId="WW8Num7z0">
    <w:name w:val="WW8Num7z0"/>
    <w:rsid w:val="00E6601B"/>
    <w:rPr>
      <w:rFonts w:ascii="Symbol" w:hAnsi="Symbol"/>
      <w:sz w:val="20"/>
    </w:rPr>
  </w:style>
  <w:style w:type="character" w:customStyle="1" w:styleId="WW8Num7z1">
    <w:name w:val="WW8Num7z1"/>
    <w:rsid w:val="00E6601B"/>
    <w:rPr>
      <w:rFonts w:ascii="Courier New" w:hAnsi="Courier New"/>
      <w:sz w:val="20"/>
    </w:rPr>
  </w:style>
  <w:style w:type="character" w:customStyle="1" w:styleId="WW8Num7z2">
    <w:name w:val="WW8Num7z2"/>
    <w:rsid w:val="00E6601B"/>
    <w:rPr>
      <w:rFonts w:ascii="Wingdings" w:hAnsi="Wingdings"/>
      <w:sz w:val="20"/>
    </w:rPr>
  </w:style>
  <w:style w:type="character" w:customStyle="1" w:styleId="WW8Num8z0">
    <w:name w:val="WW8Num8z0"/>
    <w:rsid w:val="00E6601B"/>
    <w:rPr>
      <w:rFonts w:ascii="Symbol" w:hAnsi="Symbol"/>
      <w:sz w:val="20"/>
    </w:rPr>
  </w:style>
  <w:style w:type="character" w:customStyle="1" w:styleId="WW8Num8z1">
    <w:name w:val="WW8Num8z1"/>
    <w:rsid w:val="00E6601B"/>
    <w:rPr>
      <w:rFonts w:ascii="Courier New" w:hAnsi="Courier New"/>
      <w:sz w:val="20"/>
    </w:rPr>
  </w:style>
  <w:style w:type="character" w:customStyle="1" w:styleId="WW8Num8z2">
    <w:name w:val="WW8Num8z2"/>
    <w:rsid w:val="00E6601B"/>
    <w:rPr>
      <w:rFonts w:ascii="Wingdings" w:hAnsi="Wingdings"/>
      <w:sz w:val="20"/>
    </w:rPr>
  </w:style>
  <w:style w:type="character" w:customStyle="1" w:styleId="WW8Num9z0">
    <w:name w:val="WW8Num9z0"/>
    <w:rsid w:val="00E6601B"/>
    <w:rPr>
      <w:rFonts w:ascii="Symbol" w:hAnsi="Symbol"/>
      <w:sz w:val="20"/>
    </w:rPr>
  </w:style>
  <w:style w:type="character" w:customStyle="1" w:styleId="WW8Num9z1">
    <w:name w:val="WW8Num9z1"/>
    <w:rsid w:val="00E6601B"/>
    <w:rPr>
      <w:rFonts w:ascii="Courier New" w:hAnsi="Courier New"/>
      <w:sz w:val="20"/>
    </w:rPr>
  </w:style>
  <w:style w:type="character" w:customStyle="1" w:styleId="WW8Num9z2">
    <w:name w:val="WW8Num9z2"/>
    <w:rsid w:val="00E6601B"/>
    <w:rPr>
      <w:rFonts w:ascii="Wingdings" w:hAnsi="Wingdings"/>
      <w:sz w:val="20"/>
    </w:rPr>
  </w:style>
  <w:style w:type="character" w:customStyle="1" w:styleId="10">
    <w:name w:val="Основной шрифт абзаца1"/>
    <w:rsid w:val="00E6601B"/>
  </w:style>
  <w:style w:type="character" w:styleId="a8">
    <w:name w:val="Hyperlink"/>
    <w:rsid w:val="00E6601B"/>
    <w:rPr>
      <w:color w:val="0000FF"/>
      <w:u w:val="single"/>
    </w:rPr>
  </w:style>
  <w:style w:type="character" w:customStyle="1" w:styleId="a9">
    <w:name w:val="Символ нумерации"/>
    <w:rsid w:val="00E6601B"/>
  </w:style>
  <w:style w:type="character" w:customStyle="1" w:styleId="aa">
    <w:name w:val="Маркеры списка"/>
    <w:rsid w:val="00E6601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E6601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E66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66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E6601B"/>
    <w:rPr>
      <w:rFonts w:ascii="Arial" w:hAnsi="Arial" w:cs="Tahoma"/>
    </w:rPr>
  </w:style>
  <w:style w:type="paragraph" w:customStyle="1" w:styleId="20">
    <w:name w:val="Название2"/>
    <w:basedOn w:val="a"/>
    <w:rsid w:val="00E6601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E6601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E6601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6601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Subtitle"/>
    <w:basedOn w:val="a"/>
    <w:next w:val="ac"/>
    <w:link w:val="af0"/>
    <w:qFormat/>
    <w:rsid w:val="00E6601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6601B"/>
    <w:rPr>
      <w:rFonts w:ascii="Arial" w:eastAsia="Times New Roman" w:hAnsi="Arial" w:cs="Arial"/>
      <w:sz w:val="24"/>
      <w:szCs w:val="24"/>
      <w:lang w:eastAsia="ar-SA"/>
    </w:rPr>
  </w:style>
  <w:style w:type="paragraph" w:styleId="14">
    <w:name w:val="toc 1"/>
    <w:basedOn w:val="af"/>
    <w:next w:val="a"/>
    <w:rsid w:val="00E6601B"/>
    <w:pPr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E660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660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660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E6601B"/>
    <w:pPr>
      <w:suppressAutoHyphens/>
      <w:spacing w:before="51" w:after="51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af2">
    <w:name w:val="Содержимое врезки"/>
    <w:basedOn w:val="ac"/>
    <w:rsid w:val="00E6601B"/>
  </w:style>
  <w:style w:type="paragraph" w:styleId="af3">
    <w:name w:val="Balloon Text"/>
    <w:basedOn w:val="a"/>
    <w:link w:val="af4"/>
    <w:rsid w:val="00E6601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E6601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rsid w:val="00E6601B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E6601B"/>
    <w:rPr>
      <w:rFonts w:ascii="Arial" w:eastAsia="Times New Roman" w:hAnsi="Arial" w:cs="Arial"/>
      <w:sz w:val="24"/>
      <w:szCs w:val="24"/>
      <w:lang w:eastAsia="ar-SA"/>
    </w:rPr>
  </w:style>
  <w:style w:type="table" w:styleId="af7">
    <w:name w:val="Table Grid"/>
    <w:basedOn w:val="a1"/>
    <w:uiPriority w:val="59"/>
    <w:rsid w:val="00E6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2697</Words>
  <Characters>15377</Characters>
  <Application>Microsoft Office Word</Application>
  <DocSecurity>0</DocSecurity>
  <Lines>128</Lines>
  <Paragraphs>36</Paragraphs>
  <ScaleCrop>false</ScaleCrop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2013-04-30T10:31:00Z</dcterms:created>
  <dcterms:modified xsi:type="dcterms:W3CDTF">2013-04-30T10:31:00Z</dcterms:modified>
</cp:coreProperties>
</file>