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spacing w:lineRule="auto" w:line="276"/>
        <w:ind w:firstLine="709"/>
        <w:jc w:val="both"/>
        <w:rPr>
          <w:b/>
          <w:sz w:val="28"/>
          <w:szCs w:val="28"/>
        </w:rPr>
      </w:pP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Default"/>
        <w:spacing w:lineRule="auto" w:line="27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Default"/>
        <w:spacing w:lineRule="auto" w:line="27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Эксперты рассказали о возможности оформить документы на недвижимость, расположенную в новых субъектах Российской Федерации, не покидая своего дома в Ростовской области </w:t>
      </w:r>
    </w:p>
    <w:p>
      <w:pPr>
        <w:pStyle w:val="Default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Ростовской области жители и гости региона – граждане Российской Федерации могут оформить свои права на недвижимое имущество, расположенное в другом регионе, в том числе в новых субъектах Российской Федерации, находясь дома или на работе, в удобное для них время.</w:t>
      </w:r>
    </w:p>
    <w:p>
      <w:pPr>
        <w:pStyle w:val="Default"/>
        <w:spacing w:lineRule="auto" w:line="27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Филиал ППК «Роскадастр» по Ростовской области сообщает об успешном начале приема документов на кадастровый учет и регистрацию прав по объектам недвижимости, расположенным в новых субъектах Российской Федерации. </w:t>
      </w:r>
    </w:p>
    <w:p>
      <w:pPr>
        <w:pStyle w:val="Default"/>
        <w:spacing w:lineRule="auto" w:line="276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>В начале апреля в филиале ППК «Роскадастр» по Ростовской области стартовал прием документов на государственный кадастровый учет и государственную регистрацию прав в отношении объектов недвижимости, расположенных на территории Донецкой и Луганской Народных Республик, Херсонской и Запорожской областей  (далее также – н</w:t>
      </w:r>
      <w:r>
        <w:rPr>
          <w:rFonts w:eastAsia="Calibri"/>
          <w:sz w:val="28"/>
          <w:szCs w:val="28"/>
          <w:lang w:eastAsia="ru-RU"/>
        </w:rPr>
        <w:t xml:space="preserve">овые субъекты). </w:t>
      </w:r>
      <w:r>
        <w:rPr>
          <w:sz w:val="28"/>
          <w:szCs w:val="28"/>
        </w:rPr>
        <w:t xml:space="preserve">За прошедший месяц по экстерриториальному принципу региональный Роскадастр принял более 100 пакетов документов в отношении объектов недвижимости новых субъектов </w:t>
      </w:r>
      <w:r>
        <w:rPr>
          <w:rFonts w:eastAsia="Calibri"/>
          <w:sz w:val="28"/>
          <w:szCs w:val="28"/>
          <w:lang w:eastAsia="ru-RU"/>
        </w:rPr>
        <w:t>в порядке выездного обслуживания в Ростовской области.</w:t>
      </w:r>
    </w:p>
    <w:p>
      <w:pPr>
        <w:pStyle w:val="Normal"/>
        <w:numPr>
          <w:ilvl w:val="0"/>
          <w:numId w:val="0"/>
        </w:numPr>
        <w:spacing w:before="0" w:after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Экстерриториальный принцип приема документов подразумевает возможность поставить на учет и зарегистрировать права на любое недвижимое имущество, находящееся в другом регионе Российской Федерации, не покидая своей области. </w:t>
      </w:r>
    </w:p>
    <w:p>
      <w:pPr>
        <w:pStyle w:val="Default"/>
        <w:spacing w:lineRule="auto" w:line="276"/>
        <w:ind w:firstLine="709"/>
        <w:jc w:val="both"/>
        <w:rPr>
          <w:b/>
          <w:color w:val="auto"/>
          <w:sz w:val="28"/>
          <w:szCs w:val="28"/>
        </w:rPr>
      </w:pPr>
      <w:r>
        <w:rPr>
          <w:rStyle w:val="Emphasis"/>
          <w:i w:val="false"/>
          <w:color w:val="auto"/>
          <w:sz w:val="28"/>
          <w:szCs w:val="28"/>
        </w:rPr>
        <w:t>«</w:t>
      </w:r>
      <w:r>
        <w:rPr>
          <w:rStyle w:val="Emphasis"/>
          <w:color w:val="auto"/>
          <w:sz w:val="28"/>
          <w:szCs w:val="28"/>
        </w:rPr>
        <w:t>В конце 2023 года на территории Ростовской области стала доступна услуга по государственному кадастровому учету и государственной регистрации прав на недвижимость для граждан Российской Федерации, у которых есть собственность в ДНР, ЛНР, Херсонской или Запорожской области – прием документов начали осуществлять некоторые офисы МФЦ Ростовской области. Услуга оказалась весьма востребованной, и с 1 апреля 2025 года для удобства граждан мы решили расширить ее. Теперь жители Ростовской области могут оформить недвижимость, находящуюся в исторических территориях, заказав выездное обслуживание в региональном Роскадастре</w:t>
      </w:r>
      <w:r>
        <w:rPr>
          <w:rStyle w:val="Emphasis"/>
          <w:i w:val="false"/>
          <w:color w:val="auto"/>
          <w:sz w:val="28"/>
          <w:szCs w:val="28"/>
        </w:rPr>
        <w:t xml:space="preserve">», – прокомментировал </w:t>
      </w:r>
      <w:r>
        <w:rPr>
          <w:rStyle w:val="Emphasis"/>
          <w:b/>
          <w:i w:val="false"/>
          <w:color w:val="auto"/>
          <w:sz w:val="28"/>
          <w:szCs w:val="28"/>
        </w:rPr>
        <w:t>руководитель Росреестра по Ростовской области Сергей Третьяков.</w:t>
      </w:r>
    </w:p>
    <w:p>
      <w:pPr>
        <w:pStyle w:val="Normal"/>
        <w:numPr>
          <w:ilvl w:val="0"/>
          <w:numId w:val="0"/>
        </w:numPr>
        <w:spacing w:before="0" w:after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Экстерриториальный принцип приема предполагает прием документов на государственную регистрацию прав и (или) государственный кадастровый учет независимо от места нахождения объекта недвижимости (например, объект недвижимости расположен в г. Мариуполе, а прием осуществляется в г. Таганроге). </w:t>
      </w:r>
    </w:p>
    <w:p>
      <w:pPr>
        <w:pStyle w:val="Default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i/>
          <w:sz w:val="28"/>
          <w:szCs w:val="28"/>
        </w:rPr>
        <w:t xml:space="preserve">Граждане Российской Федерации могут оформить свои права на недвижимое имущество, расположенное в другом регионе, в том числе в </w:t>
      </w:r>
      <w:r>
        <w:rPr>
          <w:rStyle w:val="Emphasis"/>
          <w:color w:val="auto"/>
          <w:sz w:val="28"/>
          <w:szCs w:val="28"/>
        </w:rPr>
        <w:t>ДНР, ЛНР, Херсонской или Запорожской области</w:t>
      </w:r>
      <w:r>
        <w:rPr>
          <w:i/>
          <w:sz w:val="28"/>
          <w:szCs w:val="28"/>
        </w:rPr>
        <w:t>, находясь дома или на работе в Ростовской области, в удобное для них время. В этих целях достаточно позвонить в филиал ППК «Роскадастр» по Ростовской области по единому номеру телефона 8(863)210-70-08, доб. 5 и заказать услугу выездного приема. Стоимость единой услуги выездного обслуживания составляет 2100 руб. за один пакет документов. Прием и обработку принятых документов осуществляют высококвалифицированные специалисты своего дела</w:t>
      </w:r>
      <w:r>
        <w:rPr>
          <w:sz w:val="28"/>
          <w:szCs w:val="28"/>
        </w:rPr>
        <w:t xml:space="preserve">», – рассказал </w:t>
      </w:r>
      <w:r>
        <w:rPr>
          <w:b/>
          <w:sz w:val="28"/>
          <w:szCs w:val="28"/>
        </w:rPr>
        <w:t>заместитель директора филиала ППК «Роскадастр» по Ростовской области Сергей Продченко</w:t>
      </w:r>
      <w:r>
        <w:rPr>
          <w:sz w:val="28"/>
          <w:szCs w:val="28"/>
        </w:rPr>
        <w:t xml:space="preserve">. 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Выездное обслуживание </w:t>
      </w:r>
      <w:r>
        <w:rPr>
          <w:rFonts w:cs="Times New Roman" w:ascii="Times New Roman" w:hAnsi="Times New Roman"/>
          <w:sz w:val="28"/>
          <w:szCs w:val="28"/>
        </w:rPr>
        <w:t>в отношении объектов недвижимого имущества, расположенных в новых субъектах, по экстерриториальному принципу обеспечивается на территории следующих районов и городов Ростовской области:</w:t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5"/>
        <w:gridCol w:w="1965"/>
        <w:gridCol w:w="2775"/>
        <w:gridCol w:w="2206"/>
        <w:gridCol w:w="1985"/>
      </w:tblGrid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район/город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адрес офиса Филиала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номер телефона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Ростов-на-Дону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Ростов-на-Дону,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ул. Береговая, 15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Степанова Ирина Олеговна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8(863)210-70-08, доб. 4610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Азовский район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Азов, ул. Мира, 39а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Кобец Константин Васильевич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8(863)210-70-08, доб. 4010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Аксайский район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Аксай, ул. Луначарского, 16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Воздвиженская Юлия Владимировна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8(863)210-70-08, доб. 4021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Батайск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Батайск, ул. Энгельса, 172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Беседа Наталья Александровна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8(863)210-70-08, доб. 4450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Гуково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Гуково, ул. Мира, 39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Савицкая Ольга Александровна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8(863)210-70-08, доб. 4470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Донецк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Донецк, 3-й микрорайон, 26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Подоляк Елена Валерьевна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8(863)210-70-08, доб. 4480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Каменск-Шахтинский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Каменск-Шахтинский, пр. Карла Маркса, 12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Криворук Наталия Валерьевна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8(863)210-70-08, доб. 4500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Куйбышевский район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с. Куйбышево,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ул. Куйбышевская, 31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Литюк Наталья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8(863)210-70-08, доб. 4190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Миллеровский район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Миллерово, ул. М.Горького, 23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Чирская Наталья Ивановна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8(863)210-70-08, доб. 4220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Новошахтинск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Новошахтинск,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ул. Зорге, 48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Ладыкина Юлия Валентиновна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8(863)210-70-08, доб. 4521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р.п. Каменоломни, </w:t>
              <w:br/>
              <w:t>ул. 40 лет Октября, 59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Телкова Людмила Петровна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8(863)210-70-08, доб. 2754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Пролетарский район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г. Пролетарск, </w:t>
              <w:br/>
              <w:t>ул. Подтелковская, 113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Черникова Анна Владимировна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8(863)210-70-08, доб. 4310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Таганрог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Таганрог,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ул. Осипенко, 51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Шевченко Анна Сергеевна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8(863)210-70-08, доб. 4530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Чертковский район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 Чертково,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ул. Петровского, 111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Коляда Елена Анатольевна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8(863)210-70-08, доб. 4420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Шахты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Шахты, ул. Советская,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 xml:space="preserve"> 187/189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Табан Елена Васильевна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8(863)210-70-08, доб. 4548</w:t>
            </w:r>
          </w:p>
        </w:tc>
      </w:tr>
    </w:tbl>
    <w:p>
      <w:pPr>
        <w:pStyle w:val="NormalWeb"/>
        <w:spacing w:lineRule="auto" w:line="276" w:beforeAutospacing="0" w:before="0" w:afterAutospacing="0" w:after="0"/>
        <w:ind w:firstLine="709"/>
        <w:jc w:val="both"/>
        <w:textAlignment w:val="top"/>
        <w:rPr>
          <w:color w:val="5E5E5E"/>
          <w:sz w:val="28"/>
          <w:szCs w:val="28"/>
        </w:rPr>
      </w:pPr>
      <w:r>
        <w:rPr>
          <w:sz w:val="28"/>
          <w:szCs w:val="28"/>
        </w:rPr>
        <w:t xml:space="preserve">Возможность подачи документов по экстерриториальному принципу в порядке выездного обслуживания позволяет заявителям экономить время и средства. Подробности можно узнать по указанным телефонам. </w:t>
      </w:r>
    </w:p>
    <w:p>
      <w:pPr>
        <w:pStyle w:val="NormalWeb"/>
        <w:spacing w:lineRule="auto" w:line="276" w:beforeAutospacing="0" w:before="0" w:afterAutospacing="0" w:after="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Документы-основания для осуществления регистрации прав и (или) кадастрового учета имущества необходимо предъявить на языке оригинала, перевод не требуется. Сроки предоставления государственной услуги по новым субъектам –  от 20 до 30 рабочих дней, в зависимости от вида регистрационного действия.</w:t>
      </w:r>
    </w:p>
    <w:p>
      <w:pPr>
        <w:pStyle w:val="Normal"/>
        <w:numPr>
          <w:ilvl w:val="0"/>
          <w:numId w:val="0"/>
        </w:numPr>
        <w:ind w:firstLine="709"/>
        <w:jc w:val="both"/>
        <w:outlineLvl w:val="0"/>
        <w:rPr>
          <w:rFonts w:ascii="Times New Roman" w:hAnsi="Times New Roman" w:eastAsia="Times New Roman" w:cs="Times New Roman"/>
          <w:color w:val="auto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 w:bidi="ar-SA"/>
        </w:rPr>
        <w:t>Важно, что изменения Федерального закона от 13.07.2015 № 218-ФЗ «О государственной регистрации недвижимости» в части обязательности подачи документов на государственный кадастровый учет и (или) государственную регистрацию прав только в электронном виде для юридических лиц не распространяются на новые субъекты. То есть юридические лица также могут обращаться к работникам регионального Роскадастра в Ростовской области для оформления прав на недвижимость, находящуюся в новых субъектах.</w:t>
      </w:r>
    </w:p>
    <w:p>
      <w:pPr>
        <w:pStyle w:val="Default"/>
        <w:spacing w:lineRule="auto" w:line="276"/>
        <w:ind w:firstLine="709"/>
        <w:jc w:val="both"/>
        <w:rPr>
          <w:rFonts w:eastAsia="Times New Roman"/>
          <w:iCs/>
          <w:lang w:eastAsia="ru-RU"/>
        </w:rPr>
      </w:pPr>
      <w:r>
        <w:rPr>
          <w:rFonts w:eastAsia="Times New Roman"/>
          <w:iCs/>
          <w:lang w:eastAsia="ru-RU"/>
        </w:rPr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30338"/>
    <w:pPr>
      <w:widowControl/>
      <w:bidi w:val="0"/>
      <w:spacing w:lineRule="auto" w:line="276" w:before="0" w:after="200"/>
      <w:jc w:val="left"/>
    </w:pPr>
    <w:rPr>
      <w:rFonts w:ascii="Calibri" w:hAnsi="Calibri" w:eastAsia="Tahoma" w:cs="Noto Sans Devanagari" w:asciiTheme="minorHAnsi" w:hAnsiTheme="minorHAnsi"/>
      <w:color w:val="000000"/>
      <w:kern w:val="0"/>
      <w:sz w:val="22"/>
      <w:szCs w:val="20"/>
      <w:lang w:eastAsia="zh-CN" w:bidi="hi-IN" w:val="ru-RU"/>
    </w:rPr>
  </w:style>
  <w:style w:type="paragraph" w:styleId="Heading1">
    <w:name w:val="heading 1"/>
    <w:basedOn w:val="Normal"/>
    <w:next w:val="Normal"/>
    <w:link w:val="1"/>
    <w:qFormat/>
    <w:rsid w:val="000e2640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color w:val="auto"/>
      <w:sz w:val="24"/>
      <w:szCs w:val="24"/>
      <w:lang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0e2640"/>
    <w:rPr>
      <w:sz w:val="24"/>
      <w:szCs w:val="24"/>
    </w:rPr>
  </w:style>
  <w:style w:type="character" w:styleId="Style13" w:customStyle="1">
    <w:name w:val="Текст сноски Знак"/>
    <w:basedOn w:val="DefaultParagraphFont"/>
    <w:uiPriority w:val="99"/>
    <w:semiHidden/>
    <w:qFormat/>
    <w:rsid w:val="00b30338"/>
    <w:rPr>
      <w:rFonts w:ascii="Calibri" w:hAnsi="Calibri" w:eastAsia="Tahoma" w:cs="Mangal" w:asciiTheme="minorHAnsi" w:hAnsiTheme="minorHAnsi"/>
      <w:color w:val="000000"/>
      <w:szCs w:val="18"/>
      <w:lang w:eastAsia="zh-CN" w:bidi="hi-IN"/>
    </w:rPr>
  </w:style>
  <w:style w:type="character" w:styleId="Style14">
    <w:name w:val="Символ сноски"/>
    <w:basedOn w:val="DefaultParagraphFont"/>
    <w:uiPriority w:val="99"/>
    <w:semiHidden/>
    <w:unhideWhenUsed/>
    <w:qFormat/>
    <w:rsid w:val="00b30338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bf53cd"/>
    <w:rPr>
      <w:i/>
      <w:iCs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NoSpacing">
    <w:name w:val="No Spacing"/>
    <w:uiPriority w:val="1"/>
    <w:qFormat/>
    <w:rsid w:val="000e2640"/>
    <w:pPr>
      <w:widowControl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qFormat/>
    <w:rsid w:val="000e2640"/>
    <w:pPr>
      <w:spacing w:before="0" w:after="200"/>
      <w:ind w:left="720"/>
      <w:contextualSpacing/>
    </w:pPr>
    <w:rPr>
      <w:rFonts w:ascii="Calibri" w:hAnsi="Calibri" w:eastAsia="Times New Roman" w:cs="Times New Roman"/>
      <w:color w:val="auto"/>
      <w:szCs w:val="22"/>
      <w:lang w:eastAsia="ru-RU" w:bidi="ar-SA"/>
    </w:rPr>
  </w:style>
  <w:style w:type="paragraph" w:styleId="Default" w:customStyle="1">
    <w:name w:val="Default"/>
    <w:qFormat/>
    <w:rsid w:val="00b30338"/>
    <w:pPr>
      <w:widowControl/>
      <w:bidi w:val="0"/>
      <w:spacing w:before="0" w:after="0"/>
      <w:jc w:val="left"/>
    </w:pPr>
    <w:rPr>
      <w:rFonts w:eastAsia="Tahoma" w:ascii="Times New Roman" w:hAnsi="Times New Roman" w:cs="Times New Roman"/>
      <w:color w:val="000000"/>
      <w:kern w:val="0"/>
      <w:sz w:val="24"/>
      <w:szCs w:val="24"/>
      <w:lang w:eastAsia="zh-CN" w:val="ru-RU" w:bidi="ar-SA"/>
    </w:rPr>
  </w:style>
  <w:style w:type="paragraph" w:styleId="FootnoteText">
    <w:name w:val="footnote text"/>
    <w:basedOn w:val="Normal"/>
    <w:link w:val="Style13"/>
    <w:uiPriority w:val="99"/>
    <w:semiHidden/>
    <w:unhideWhenUsed/>
    <w:rsid w:val="00b30338"/>
    <w:pPr>
      <w:spacing w:lineRule="auto" w:line="240" w:before="0" w:after="0"/>
    </w:pPr>
    <w:rPr>
      <w:rFonts w:cs="Mangal"/>
      <w:sz w:val="20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403f15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auto"/>
      <w:sz w:val="24"/>
      <w:szCs w:val="24"/>
      <w:lang w:eastAsia="ru-RU" w:bidi="ar-SA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Application>LibreOffice/24.8.3.2$Linux_X86_64 LibreOffice_project/48a6bac9e7e268aeb4c3483fcf825c94556d9f92</Application>
  <AppVersion>15.0000</AppVersion>
  <Pages>2</Pages>
  <Words>754</Words>
  <Characters>5158</Characters>
  <CharactersWithSpaces>5831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2025-05-05T08:02:00Z</dcterms:created>
  <dc:creator>OMRudyuk</dc:creator>
  <dc:description/>
  <dc:language>ru-RU</dc:language>
  <cp:lastModifiedBy>Фатеева Татьяна Александровна</cp:lastModifiedBy>
  <dcterms:modified xsi:type="dcterms:W3CDTF">2025-06-17T07:54:00Z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