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rPr>
          <w:rFonts w:ascii="Times New Roman" w:hAnsi="Times New Roman" w:cs="Times New Roman"/>
          <w:b/>
          <w:sz w:val="28"/>
          <w:szCs w:val="28"/>
        </w:rPr>
      </w:pPr>
      <w:r>
        <w:rPr/>
        <w:drawing>
          <wp:inline distT="0" distB="0" distL="0" distR="0">
            <wp:extent cx="1983740" cy="728980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740" cy="728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пресс-релиз                                                                                                                               25</w:t>
      </w: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.11.2024</w:t>
      </w:r>
    </w:p>
    <w:p>
      <w:pPr>
        <w:pStyle w:val="Normal"/>
        <w:spacing w:before="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Порядок продажи с публичных торгов доли в праве общей собственности, принадлежащей должнику</w:t>
      </w:r>
    </w:p>
    <w:p>
      <w:pPr>
        <w:pStyle w:val="Normal"/>
        <w:spacing w:lineRule="auto" w:line="36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Постановлением от 16 мая 2023 года №23-П Конституционный Суд дал оценку конституционности положений пункта 1 статьи 250 Гражданского кодекса Российской Федерации применительно</w:t>
      </w:r>
      <w:r>
        <w:rPr>
          <w:rFonts w:cs="Times New Roman" w:ascii="Times New Roman" w:hAnsi="Times New Roman"/>
          <w:sz w:val="28"/>
          <w:szCs w:val="28"/>
        </w:rPr>
        <w:t xml:space="preserve"> к порядку использования участниками долевой собственности преимущественного права приобретения реализуемой с торгов доли в праве собственности участника-банкрота.</w:t>
      </w:r>
    </w:p>
    <w:p>
      <w:pPr>
        <w:pStyle w:val="Normal"/>
        <w:spacing w:lineRule="auto" w:line="36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Указанные положения являлись предметом рассмотрения в той мере, в какой служат основанием для решения вопроса о предоставлении гражданину - участнику общей долевой собственности возможности реализовать преимущественное право покупки доли в праве собственности на жилое помещение и земельный участок, на котором оно расположено, в случае ее продажи постороннему лицу с публичных торгов в рамках процедуры банкротства гражданина.</w:t>
      </w:r>
    </w:p>
    <w:p>
      <w:pPr>
        <w:pStyle w:val="Normal"/>
        <w:spacing w:lineRule="auto" w:line="36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Конституционный Суд признал оспоренные положения не соответствующими Конституции Российской Федерации в той мере, в какой в системе действующего правового регулирования и с учетом правоприменительной практики они являются неопределенными в части возможности и порядка реализации такими гражданами преимущественного права покупки доли в праве собственности на жилое помещение и земельный участок, на котором оно расположено, в указанном случае.</w:t>
      </w:r>
    </w:p>
    <w:p>
      <w:pPr>
        <w:pStyle w:val="Normal"/>
        <w:spacing w:lineRule="auto" w:line="36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Впредь до внесения необходимых законодательных изменений продажа на торгах доли в праве общей собственности на жилое помещение и земельный участок, на котором оно расположено, в рамках процедуры банкротства гражданина осуществляется с применением гарантий прав участников долевой собственности, предусмотренных абзацами вторым и третьим статьи 255 ГК Российской Федерации, что с учетом особенностей процедуры банкротства выражается в следующем. При продаже с публичных торгов доли в праве общей собственности, принадлежащей должнику, конкурсный управляющий направляет другим участникам долевой собственности предложение приобрести принадлежащую должнику долю с указанием ее стоимости, равной начальной цене на торгах. При наличии согласия конкурсный управляющий заключает договор купли-продажи с соответствующим участником (участниками) долевой собственности. При неполучении согласия в течение месячного срока доля в праве общей собственности, принадлежащая должнику, продается с торгов. При этом правило о преимущественном праве покупки участников долевой собственности не применяется в этом случае, а также при продаже с повторных торгов и продаже посредством публичного предложения.</w:t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Материалы подготовлены Управлением Росреестра по Ростовской области</w:t>
      </w:r>
    </w:p>
    <w:p>
      <w:pPr>
        <w:pStyle w:val="Normal"/>
        <w:spacing w:before="0" w:after="160"/>
        <w:jc w:val="both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75b38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semiHidden/>
    <w:unhideWhenUsed/>
    <w:rsid w:val="00ed2378"/>
    <w:rPr>
      <w:color w:val="0000FF"/>
      <w:u w:val="single"/>
    </w:rPr>
  </w:style>
  <w:style w:type="character" w:styleId="css-96zuhp-word-diff" w:customStyle="1">
    <w:name w:val="css-96zuhp-word-diff"/>
    <w:basedOn w:val="DefaultParagraphFont"/>
    <w:qFormat/>
    <w:rsid w:val="001261d8"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NormalWeb">
    <w:name w:val="Normal (Web)"/>
    <w:basedOn w:val="Normal"/>
    <w:uiPriority w:val="99"/>
    <w:semiHidden/>
    <w:unhideWhenUsed/>
    <w:qFormat/>
    <w:rsid w:val="00ed237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Application>LibreOffice/24.8.3.2$Linux_X86_64 LibreOffice_project/48a6bac9e7e268aeb4c3483fcf825c94556d9f92</Application>
  <AppVersion>15.0000</AppVersion>
  <Pages>2</Pages>
  <Words>319</Words>
  <Characters>2262</Characters>
  <CharactersWithSpaces>2700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2024-11-22T08:20:00Z</dcterms:created>
  <dc:creator>Норинская Яна Валерьевна</dc:creator>
  <dc:description/>
  <dc:language>ru-RU</dc:language>
  <cp:lastModifiedBy>Фатеева Татьяна Александровна</cp:lastModifiedBy>
  <dcterms:modified xsi:type="dcterms:W3CDTF">2024-12-04T06:14:00Z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