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61" w:rsidRPr="00594861" w:rsidRDefault="00594861" w:rsidP="00594861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b/>
          <w:bCs/>
          <w:sz w:val="24"/>
          <w:szCs w:val="24"/>
          <w:lang w:eastAsia="ar-SA"/>
        </w:rPr>
        <w:t>Утверждаю:</w:t>
      </w:r>
    </w:p>
    <w:p w:rsidR="00594861" w:rsidRPr="00594861" w:rsidRDefault="00594861" w:rsidP="00594861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>Заместитель Главы</w:t>
      </w:r>
    </w:p>
    <w:p w:rsidR="00594861" w:rsidRPr="00594861" w:rsidRDefault="00594861" w:rsidP="00594861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 xml:space="preserve"> Администрации города</w:t>
      </w:r>
    </w:p>
    <w:p w:rsidR="00594861" w:rsidRPr="00594861" w:rsidRDefault="00594861" w:rsidP="00594861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>по вопросам ЖКХ и транспорта</w:t>
      </w:r>
    </w:p>
    <w:p w:rsidR="00594861" w:rsidRPr="00594861" w:rsidRDefault="00594861" w:rsidP="00594861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 xml:space="preserve">_______________М.В. </w:t>
      </w:r>
      <w:proofErr w:type="spellStart"/>
      <w:r w:rsidRPr="00594861">
        <w:rPr>
          <w:rFonts w:ascii="Arial" w:eastAsia="Calibri" w:hAnsi="Arial" w:cs="Arial"/>
          <w:sz w:val="24"/>
          <w:szCs w:val="24"/>
          <w:lang w:eastAsia="ar-SA"/>
        </w:rPr>
        <w:t>Солоницин</w:t>
      </w:r>
      <w:proofErr w:type="spellEnd"/>
    </w:p>
    <w:p w:rsidR="00594861" w:rsidRDefault="00594861" w:rsidP="00AE5F40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7B12" w:rsidRPr="00EE2BBB" w:rsidRDefault="00594861" w:rsidP="00AE5F40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Отчет</w:t>
      </w:r>
      <w:r w:rsidR="00AE5F40" w:rsidRPr="00EE2BBB">
        <w:rPr>
          <w:rFonts w:ascii="Arial" w:hAnsi="Arial" w:cs="Arial"/>
          <w:b/>
          <w:sz w:val="24"/>
          <w:szCs w:val="24"/>
        </w:rPr>
        <w:t xml:space="preserve"> о деятельности Межведомственной комиссии по рассмотрению вопросов погашения задолженности потребителей за жилищно-коммунальные услуги за 4 квартал 2015 года</w:t>
      </w:r>
      <w:bookmarkEnd w:id="0"/>
      <w:r w:rsidR="00AE5F40" w:rsidRPr="00EE2BBB">
        <w:rPr>
          <w:rFonts w:ascii="Arial" w:hAnsi="Arial" w:cs="Arial"/>
          <w:b/>
          <w:sz w:val="24"/>
          <w:szCs w:val="24"/>
        </w:rPr>
        <w:t>.</w:t>
      </w:r>
    </w:p>
    <w:p w:rsidR="00B34A4E" w:rsidRDefault="00B34A4E" w:rsidP="00B34A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4 квартал 2015 года было проведено 3 заседания Межведомственной комиссии по рассмотрению вопросов погашения задолженности потребителей за жилищно-коммунальные услуги (далее Комиссия). </w:t>
      </w:r>
    </w:p>
    <w:p w:rsidR="00B34A4E" w:rsidRDefault="00B34A4E" w:rsidP="007C21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заседании Комиссии (30.10.2015) были</w:t>
      </w:r>
      <w:r w:rsidR="00671881">
        <w:rPr>
          <w:rFonts w:ascii="Arial" w:hAnsi="Arial" w:cs="Arial"/>
          <w:sz w:val="24"/>
          <w:szCs w:val="24"/>
        </w:rPr>
        <w:t xml:space="preserve"> рассмотрены следующие</w:t>
      </w:r>
      <w:r w:rsidR="007C2146">
        <w:rPr>
          <w:rFonts w:ascii="Arial" w:hAnsi="Arial" w:cs="Arial"/>
          <w:sz w:val="24"/>
          <w:szCs w:val="24"/>
        </w:rPr>
        <w:t xml:space="preserve"> вопросы:</w:t>
      </w:r>
    </w:p>
    <w:p w:rsidR="007C2146" w:rsidRDefault="00671881" w:rsidP="00B34A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образование</w:t>
      </w:r>
      <w:r w:rsidR="007C2146">
        <w:rPr>
          <w:rFonts w:ascii="Arial" w:hAnsi="Arial" w:cs="Arial"/>
          <w:sz w:val="24"/>
          <w:szCs w:val="24"/>
        </w:rPr>
        <w:t xml:space="preserve"> задолженности </w:t>
      </w:r>
      <w:r w:rsidR="007C2146" w:rsidRPr="007C2146">
        <w:rPr>
          <w:rFonts w:ascii="Arial" w:hAnsi="Arial" w:cs="Arial"/>
          <w:sz w:val="24"/>
          <w:szCs w:val="24"/>
        </w:rPr>
        <w:t xml:space="preserve">за </w:t>
      </w:r>
      <w:r w:rsidR="007C2146" w:rsidRPr="00B34A4E">
        <w:rPr>
          <w:rFonts w:ascii="Arial" w:hAnsi="Arial" w:cs="Arial"/>
          <w:sz w:val="24"/>
          <w:szCs w:val="24"/>
        </w:rPr>
        <w:t>оказанные жилищно-ко</w:t>
      </w:r>
      <w:r w:rsidR="007C2146">
        <w:rPr>
          <w:rFonts w:ascii="Arial" w:hAnsi="Arial" w:cs="Arial"/>
          <w:sz w:val="24"/>
          <w:szCs w:val="24"/>
        </w:rPr>
        <w:t xml:space="preserve">ммунальные услуги (далее ЖКУ) </w:t>
      </w:r>
      <w:r w:rsidR="007C2146" w:rsidRPr="00B34A4E">
        <w:rPr>
          <w:rFonts w:ascii="Arial" w:hAnsi="Arial" w:cs="Arial"/>
          <w:sz w:val="24"/>
          <w:szCs w:val="24"/>
        </w:rPr>
        <w:t>физических и юридических лиц</w:t>
      </w:r>
      <w:r>
        <w:rPr>
          <w:rFonts w:ascii="Arial" w:hAnsi="Arial" w:cs="Arial"/>
          <w:sz w:val="24"/>
          <w:szCs w:val="24"/>
        </w:rPr>
        <w:t xml:space="preserve"> (рис. 1)</w:t>
      </w:r>
      <w:r w:rsidR="007C2146">
        <w:rPr>
          <w:rFonts w:ascii="Arial" w:hAnsi="Arial" w:cs="Arial"/>
          <w:sz w:val="24"/>
          <w:szCs w:val="24"/>
        </w:rPr>
        <w:t>;</w:t>
      </w:r>
    </w:p>
    <w:p w:rsidR="007C2146" w:rsidRDefault="007C2146" w:rsidP="00B34A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B34A4E">
        <w:rPr>
          <w:rFonts w:ascii="Arial" w:hAnsi="Arial" w:cs="Arial"/>
          <w:sz w:val="24"/>
          <w:szCs w:val="24"/>
        </w:rPr>
        <w:t xml:space="preserve">рганизация работы Комиссии по выработке мер, направленных на повышение эффективности взыскания задолженности </w:t>
      </w:r>
      <w:proofErr w:type="gramStart"/>
      <w:r w:rsidRPr="00B34A4E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полученные ЖКУ.</w:t>
      </w:r>
    </w:p>
    <w:p w:rsidR="007C2146" w:rsidRDefault="007C2146" w:rsidP="007C21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0DC492" wp14:editId="153AFF4A">
            <wp:extent cx="5067300" cy="3343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1881" w:rsidRPr="00EE2BBB" w:rsidRDefault="00671881" w:rsidP="007C21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BBB">
        <w:rPr>
          <w:rFonts w:ascii="Arial" w:hAnsi="Arial" w:cs="Arial"/>
          <w:b/>
          <w:sz w:val="24"/>
          <w:szCs w:val="24"/>
        </w:rPr>
        <w:t xml:space="preserve">Рис.1 </w:t>
      </w:r>
    </w:p>
    <w:p w:rsidR="00705EA9" w:rsidRDefault="00C95714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2-ое заседание Комиссии (20.11</w:t>
      </w:r>
      <w:r w:rsidR="00671881">
        <w:rPr>
          <w:rFonts w:ascii="Arial" w:hAnsi="Arial" w:cs="Arial"/>
          <w:sz w:val="24"/>
          <w:szCs w:val="24"/>
        </w:rPr>
        <w:t>.2015)</w:t>
      </w:r>
      <w:r>
        <w:rPr>
          <w:rFonts w:ascii="Arial" w:hAnsi="Arial" w:cs="Arial"/>
          <w:sz w:val="24"/>
          <w:szCs w:val="24"/>
        </w:rPr>
        <w:t xml:space="preserve"> были приглашены 49 человек, проживающие в муниципальном жилищном фонде, </w:t>
      </w:r>
      <w:r w:rsidRPr="00C95714">
        <w:rPr>
          <w:rFonts w:ascii="Arial" w:hAnsi="Arial" w:cs="Arial"/>
          <w:sz w:val="24"/>
          <w:szCs w:val="24"/>
        </w:rPr>
        <w:t>которые имеют задолженность за ЖКУ свыше 100 тысяч рублей</w:t>
      </w:r>
      <w:r>
        <w:rPr>
          <w:rFonts w:ascii="Arial" w:hAnsi="Arial" w:cs="Arial"/>
          <w:sz w:val="24"/>
          <w:szCs w:val="24"/>
        </w:rPr>
        <w:t xml:space="preserve">. </w:t>
      </w:r>
      <w:r w:rsidRPr="00C95714">
        <w:rPr>
          <w:rFonts w:ascii="Arial" w:hAnsi="Arial" w:cs="Arial"/>
          <w:sz w:val="24"/>
          <w:szCs w:val="24"/>
        </w:rPr>
        <w:t>14 человек получили уведомления и расписалис</w:t>
      </w:r>
      <w:r>
        <w:rPr>
          <w:rFonts w:ascii="Arial" w:hAnsi="Arial" w:cs="Arial"/>
          <w:sz w:val="24"/>
          <w:szCs w:val="24"/>
        </w:rPr>
        <w:t>ь за них; на К</w:t>
      </w:r>
      <w:r w:rsidRPr="00C95714">
        <w:rPr>
          <w:rFonts w:ascii="Arial" w:hAnsi="Arial" w:cs="Arial"/>
          <w:sz w:val="24"/>
          <w:szCs w:val="24"/>
        </w:rPr>
        <w:t>омиссию явились 11 человек</w:t>
      </w:r>
      <w:r>
        <w:rPr>
          <w:rFonts w:ascii="Arial" w:hAnsi="Arial" w:cs="Arial"/>
          <w:sz w:val="24"/>
          <w:szCs w:val="24"/>
        </w:rPr>
        <w:t>. На заседании Комиссии был заслушан каждый должник</w:t>
      </w:r>
      <w:r w:rsidRPr="00C95714">
        <w:rPr>
          <w:rFonts w:ascii="Arial" w:hAnsi="Arial" w:cs="Arial"/>
          <w:sz w:val="24"/>
          <w:szCs w:val="24"/>
        </w:rPr>
        <w:t xml:space="preserve"> о причинах</w:t>
      </w:r>
      <w:r>
        <w:rPr>
          <w:rFonts w:ascii="Arial" w:hAnsi="Arial" w:cs="Arial"/>
          <w:sz w:val="24"/>
          <w:szCs w:val="24"/>
        </w:rPr>
        <w:t xml:space="preserve"> образования задолженности</w:t>
      </w:r>
      <w:r w:rsidR="00705EA9">
        <w:rPr>
          <w:rFonts w:ascii="Arial" w:hAnsi="Arial" w:cs="Arial"/>
          <w:sz w:val="24"/>
          <w:szCs w:val="24"/>
        </w:rPr>
        <w:t xml:space="preserve">. Члены </w:t>
      </w:r>
      <w:r w:rsidR="00705EA9">
        <w:rPr>
          <w:rFonts w:ascii="Arial" w:hAnsi="Arial" w:cs="Arial"/>
          <w:sz w:val="24"/>
          <w:szCs w:val="24"/>
        </w:rPr>
        <w:lastRenderedPageBreak/>
        <w:t xml:space="preserve">Комиссии предложили различные варианты </w:t>
      </w:r>
      <w:r w:rsidR="00705EA9" w:rsidRPr="00C95714">
        <w:rPr>
          <w:rFonts w:ascii="Arial" w:hAnsi="Arial" w:cs="Arial"/>
          <w:sz w:val="24"/>
          <w:szCs w:val="24"/>
        </w:rPr>
        <w:t>погашения задолженности</w:t>
      </w:r>
      <w:r w:rsidR="00705EA9">
        <w:rPr>
          <w:rFonts w:ascii="Arial" w:hAnsi="Arial" w:cs="Arial"/>
          <w:sz w:val="24"/>
          <w:szCs w:val="24"/>
        </w:rPr>
        <w:t xml:space="preserve"> в каждом конкретном случае.</w:t>
      </w:r>
    </w:p>
    <w:p w:rsidR="00705EA9" w:rsidRDefault="00705EA9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из 38 человек, неявившихся на заседание Комиссии, был передан п</w:t>
      </w:r>
      <w:r w:rsidRPr="00705EA9">
        <w:rPr>
          <w:rFonts w:ascii="Arial" w:hAnsi="Arial" w:cs="Arial"/>
          <w:sz w:val="24"/>
          <w:szCs w:val="24"/>
        </w:rPr>
        <w:t>ервому замест</w:t>
      </w:r>
      <w:r>
        <w:rPr>
          <w:rFonts w:ascii="Arial" w:hAnsi="Arial" w:cs="Arial"/>
          <w:sz w:val="24"/>
          <w:szCs w:val="24"/>
        </w:rPr>
        <w:t xml:space="preserve">ителю Главы Администрации города </w:t>
      </w:r>
      <w:r w:rsidRPr="00705EA9">
        <w:rPr>
          <w:rFonts w:ascii="Arial" w:hAnsi="Arial" w:cs="Arial"/>
          <w:sz w:val="24"/>
          <w:szCs w:val="24"/>
        </w:rPr>
        <w:t>С.А. Бондаренко</w:t>
      </w:r>
      <w:r>
        <w:rPr>
          <w:rFonts w:ascii="Arial" w:hAnsi="Arial" w:cs="Arial"/>
          <w:sz w:val="24"/>
          <w:szCs w:val="24"/>
        </w:rPr>
        <w:t xml:space="preserve"> для </w:t>
      </w:r>
      <w:r w:rsidR="00EE2BBB" w:rsidRPr="00EE2BBB">
        <w:rPr>
          <w:rFonts w:ascii="Arial" w:hAnsi="Arial" w:cs="Arial"/>
          <w:sz w:val="24"/>
          <w:szCs w:val="24"/>
        </w:rPr>
        <w:t>дальнейшего принятия мер</w:t>
      </w:r>
      <w:r w:rsidR="00EE2BBB">
        <w:rPr>
          <w:rFonts w:ascii="Arial" w:hAnsi="Arial" w:cs="Arial"/>
          <w:sz w:val="24"/>
          <w:szCs w:val="24"/>
        </w:rPr>
        <w:t>.</w:t>
      </w:r>
    </w:p>
    <w:p w:rsidR="00EE2BBB" w:rsidRDefault="00EE2BBB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3-е заседание Комиссии были приглашены </w:t>
      </w:r>
      <w:r w:rsidRPr="00EE2BBB">
        <w:rPr>
          <w:rFonts w:ascii="Arial" w:hAnsi="Arial" w:cs="Arial"/>
          <w:sz w:val="24"/>
          <w:szCs w:val="24"/>
        </w:rPr>
        <w:t>34 собственника приватизированного жилья с общим долгом 5,7 млн. рублей, которые с момента начала работы ИВЦ ЖКХ не платили ни разу за услуги ЖКХ. Письм</w:t>
      </w:r>
      <w:r>
        <w:rPr>
          <w:rFonts w:ascii="Arial" w:hAnsi="Arial" w:cs="Arial"/>
          <w:sz w:val="24"/>
          <w:szCs w:val="24"/>
        </w:rPr>
        <w:t xml:space="preserve">енно уведомлено 9 собственников; явились 4 собственника. </w:t>
      </w:r>
      <w:r w:rsidRPr="00EE2BBB">
        <w:rPr>
          <w:rFonts w:ascii="Arial" w:hAnsi="Arial" w:cs="Arial"/>
          <w:sz w:val="24"/>
          <w:szCs w:val="24"/>
        </w:rPr>
        <w:t>В целях досудебного урегулирования вопросов, связанных с взысканием с потребителей ЖКУ задолженности за оказанные ЖКУ</w:t>
      </w:r>
      <w:r>
        <w:rPr>
          <w:rFonts w:ascii="Arial" w:hAnsi="Arial" w:cs="Arial"/>
          <w:sz w:val="24"/>
          <w:szCs w:val="24"/>
        </w:rPr>
        <w:t>, члены Комиссии рекомендовали</w:t>
      </w:r>
      <w:r w:rsidRPr="00EE2BBB">
        <w:rPr>
          <w:rFonts w:ascii="Arial" w:hAnsi="Arial" w:cs="Arial"/>
          <w:sz w:val="24"/>
          <w:szCs w:val="24"/>
        </w:rPr>
        <w:t xml:space="preserve"> различные варианты погашения задолженности в каждом конкретном случае</w:t>
      </w:r>
      <w:r>
        <w:rPr>
          <w:rFonts w:ascii="Arial" w:hAnsi="Arial" w:cs="Arial"/>
          <w:sz w:val="24"/>
          <w:szCs w:val="24"/>
        </w:rPr>
        <w:t>.</w:t>
      </w:r>
    </w:p>
    <w:p w:rsidR="00437DD5" w:rsidRDefault="00437DD5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Pr="00437DD5">
        <w:rPr>
          <w:rFonts w:ascii="Arial" w:hAnsi="Arial" w:cs="Arial"/>
          <w:sz w:val="24"/>
          <w:szCs w:val="24"/>
        </w:rPr>
        <w:t>о итогу поручений Комиссии</w:t>
      </w:r>
      <w:r w:rsidR="004B069E">
        <w:rPr>
          <w:rFonts w:ascii="Arial" w:hAnsi="Arial" w:cs="Arial"/>
          <w:sz w:val="24"/>
          <w:szCs w:val="24"/>
        </w:rPr>
        <w:t xml:space="preserve"> за 4 квартал 2015</w:t>
      </w:r>
      <w:r w:rsidRPr="00437DD5">
        <w:rPr>
          <w:rFonts w:ascii="Arial" w:hAnsi="Arial" w:cs="Arial"/>
          <w:sz w:val="24"/>
          <w:szCs w:val="24"/>
        </w:rPr>
        <w:t xml:space="preserve"> заключены соглашения о рассрочке платежа за оказанные ЖКУ</w:t>
      </w:r>
      <w:r>
        <w:rPr>
          <w:rFonts w:ascii="Arial" w:hAnsi="Arial" w:cs="Arial"/>
          <w:sz w:val="24"/>
          <w:szCs w:val="24"/>
        </w:rPr>
        <w:t xml:space="preserve"> с 5 должниками</w:t>
      </w:r>
      <w:r w:rsidRPr="00437DD5">
        <w:rPr>
          <w:rFonts w:ascii="Arial" w:hAnsi="Arial" w:cs="Arial"/>
          <w:sz w:val="24"/>
          <w:szCs w:val="24"/>
        </w:rPr>
        <w:t xml:space="preserve"> на сумму 574,1 тыс. рублей.</w:t>
      </w:r>
      <w:proofErr w:type="gramEnd"/>
    </w:p>
    <w:p w:rsidR="004B069E" w:rsidRDefault="004B069E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4B069E">
        <w:rPr>
          <w:rFonts w:ascii="Arial" w:hAnsi="Arial" w:cs="Arial"/>
          <w:sz w:val="24"/>
          <w:szCs w:val="24"/>
        </w:rPr>
        <w:t>а период с 01.10</w:t>
      </w:r>
      <w:r>
        <w:rPr>
          <w:rFonts w:ascii="Arial" w:hAnsi="Arial" w:cs="Arial"/>
          <w:sz w:val="24"/>
          <w:szCs w:val="24"/>
        </w:rPr>
        <w:t>.2015</w:t>
      </w:r>
      <w:r w:rsidRPr="004B069E">
        <w:rPr>
          <w:rFonts w:ascii="Arial" w:hAnsi="Arial" w:cs="Arial"/>
          <w:sz w:val="24"/>
          <w:szCs w:val="24"/>
        </w:rPr>
        <w:t xml:space="preserve"> по 01.12</w:t>
      </w:r>
      <w:r>
        <w:rPr>
          <w:rFonts w:ascii="Arial" w:hAnsi="Arial" w:cs="Arial"/>
          <w:sz w:val="24"/>
          <w:szCs w:val="24"/>
        </w:rPr>
        <w:t>.2015</w:t>
      </w:r>
      <w:r w:rsidRPr="004B069E">
        <w:rPr>
          <w:rFonts w:ascii="Arial" w:hAnsi="Arial" w:cs="Arial"/>
          <w:sz w:val="24"/>
          <w:szCs w:val="24"/>
        </w:rPr>
        <w:t xml:space="preserve"> общая сумма задолженности по городу увеличилась с 395 млн. рублей</w:t>
      </w:r>
      <w:r>
        <w:rPr>
          <w:rFonts w:ascii="Arial" w:hAnsi="Arial" w:cs="Arial"/>
          <w:sz w:val="24"/>
          <w:szCs w:val="24"/>
        </w:rPr>
        <w:t xml:space="preserve"> до 437,9 млн. рублей (рис.2)</w:t>
      </w:r>
      <w:r w:rsidRPr="004B06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737D7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адолженность населе</w:t>
      </w:r>
      <w:r w:rsidR="00821168">
        <w:rPr>
          <w:rFonts w:ascii="Arial" w:hAnsi="Arial" w:cs="Arial"/>
          <w:sz w:val="24"/>
          <w:szCs w:val="24"/>
        </w:rPr>
        <w:t>ния на 01.12.2015 составляет 45</w:t>
      </w:r>
      <w:r>
        <w:rPr>
          <w:rFonts w:ascii="Arial" w:hAnsi="Arial" w:cs="Arial"/>
          <w:sz w:val="24"/>
          <w:szCs w:val="24"/>
        </w:rPr>
        <w:t>%</w:t>
      </w:r>
      <w:r w:rsidR="000737D7">
        <w:rPr>
          <w:rFonts w:ascii="Arial" w:hAnsi="Arial" w:cs="Arial"/>
          <w:sz w:val="24"/>
          <w:szCs w:val="24"/>
        </w:rPr>
        <w:t xml:space="preserve"> от общей суммы задолженности</w:t>
      </w:r>
      <w:r w:rsidR="00821168">
        <w:rPr>
          <w:rFonts w:ascii="Arial" w:hAnsi="Arial" w:cs="Arial"/>
          <w:sz w:val="24"/>
          <w:szCs w:val="24"/>
        </w:rPr>
        <w:t xml:space="preserve"> (рис.3)</w:t>
      </w:r>
      <w:r>
        <w:rPr>
          <w:rFonts w:ascii="Arial" w:hAnsi="Arial" w:cs="Arial"/>
          <w:sz w:val="24"/>
          <w:szCs w:val="24"/>
        </w:rPr>
        <w:t>.</w:t>
      </w:r>
    </w:p>
    <w:p w:rsidR="004B069E" w:rsidRDefault="004B069E" w:rsidP="004B06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7BBC9D" wp14:editId="0AFFAB14">
            <wp:extent cx="5200650" cy="4219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069E" w:rsidRDefault="004B069E" w:rsidP="004B06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069E">
        <w:rPr>
          <w:rFonts w:ascii="Arial" w:hAnsi="Arial" w:cs="Arial"/>
          <w:b/>
          <w:sz w:val="24"/>
          <w:szCs w:val="24"/>
        </w:rPr>
        <w:t>Рис.2</w:t>
      </w:r>
    </w:p>
    <w:p w:rsidR="00821168" w:rsidRDefault="00821168" w:rsidP="004B06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4461E3" wp14:editId="7F6C3A52">
            <wp:extent cx="4895850" cy="4029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37D7" w:rsidRDefault="000737D7" w:rsidP="004B06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Рис.3</w:t>
      </w:r>
    </w:p>
    <w:p w:rsidR="00E7687D" w:rsidRDefault="00E7687D" w:rsidP="00E7687D">
      <w:pPr>
        <w:spacing w:after="0"/>
        <w:rPr>
          <w:rFonts w:ascii="Arial" w:hAnsi="Arial" w:cs="Arial"/>
          <w:sz w:val="24"/>
          <w:szCs w:val="24"/>
        </w:rPr>
      </w:pPr>
    </w:p>
    <w:p w:rsidR="00E7687D" w:rsidRDefault="00E7687D" w:rsidP="00E7687D">
      <w:pPr>
        <w:spacing w:after="0"/>
        <w:rPr>
          <w:rFonts w:ascii="Arial" w:hAnsi="Arial" w:cs="Arial"/>
          <w:sz w:val="24"/>
          <w:szCs w:val="24"/>
        </w:rPr>
      </w:pPr>
    </w:p>
    <w:p w:rsidR="00E7687D" w:rsidRDefault="00E7687D" w:rsidP="00E7687D">
      <w:pPr>
        <w:spacing w:after="0"/>
        <w:rPr>
          <w:rFonts w:ascii="Arial" w:hAnsi="Arial" w:cs="Arial"/>
          <w:sz w:val="24"/>
          <w:szCs w:val="24"/>
        </w:rPr>
      </w:pPr>
    </w:p>
    <w:p w:rsidR="00594861" w:rsidRDefault="00594861" w:rsidP="00E7687D">
      <w:pPr>
        <w:spacing w:after="0"/>
        <w:rPr>
          <w:rFonts w:ascii="Arial" w:hAnsi="Arial" w:cs="Arial"/>
          <w:sz w:val="24"/>
          <w:szCs w:val="24"/>
        </w:rPr>
      </w:pPr>
    </w:p>
    <w:p w:rsidR="00594861" w:rsidRDefault="00594861" w:rsidP="00E7687D">
      <w:pPr>
        <w:spacing w:after="0"/>
        <w:rPr>
          <w:rFonts w:ascii="Arial" w:hAnsi="Arial" w:cs="Arial"/>
          <w:sz w:val="24"/>
          <w:szCs w:val="24"/>
        </w:rPr>
      </w:pPr>
    </w:p>
    <w:p w:rsidR="00594861" w:rsidRDefault="00594861" w:rsidP="00E7687D">
      <w:pPr>
        <w:spacing w:after="0"/>
        <w:rPr>
          <w:rFonts w:ascii="Arial" w:hAnsi="Arial" w:cs="Arial"/>
          <w:sz w:val="24"/>
          <w:szCs w:val="24"/>
        </w:rPr>
      </w:pPr>
    </w:p>
    <w:p w:rsidR="00E7687D" w:rsidRDefault="00E7687D" w:rsidP="00E7687D">
      <w:pPr>
        <w:spacing w:after="0"/>
        <w:rPr>
          <w:rFonts w:ascii="Arial" w:hAnsi="Arial" w:cs="Arial"/>
          <w:sz w:val="24"/>
          <w:szCs w:val="24"/>
        </w:rPr>
      </w:pPr>
    </w:p>
    <w:p w:rsidR="00594861" w:rsidRDefault="00594861" w:rsidP="0059486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861" w:rsidRDefault="00594861" w:rsidP="0059486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 xml:space="preserve">Секретарь Межведомственной комиссии </w:t>
      </w:r>
    </w:p>
    <w:p w:rsidR="00594861" w:rsidRDefault="00594861" w:rsidP="0059486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 xml:space="preserve">по </w:t>
      </w:r>
      <w:r>
        <w:rPr>
          <w:rFonts w:ascii="Arial" w:eastAsia="Calibri" w:hAnsi="Arial" w:cs="Arial"/>
          <w:sz w:val="24"/>
          <w:szCs w:val="24"/>
          <w:lang w:eastAsia="ar-SA"/>
        </w:rPr>
        <w:t>рассмотрению вопросов погашения</w:t>
      </w:r>
    </w:p>
    <w:p w:rsidR="00594861" w:rsidRDefault="00594861" w:rsidP="0059486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 xml:space="preserve">задолженности потребителей </w:t>
      </w:r>
    </w:p>
    <w:p w:rsidR="00594861" w:rsidRPr="00594861" w:rsidRDefault="00594861" w:rsidP="0059486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94861">
        <w:rPr>
          <w:rFonts w:ascii="Arial" w:eastAsia="Calibri" w:hAnsi="Arial" w:cs="Arial"/>
          <w:sz w:val="24"/>
          <w:szCs w:val="24"/>
          <w:lang w:eastAsia="ar-SA"/>
        </w:rPr>
        <w:t xml:space="preserve">за  жилищно-коммунальные услуги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</w:t>
      </w:r>
      <w:r w:rsidRPr="00594861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П.В. Пиляев                                   </w:t>
      </w:r>
    </w:p>
    <w:p w:rsidR="00EE2BBB" w:rsidRDefault="00EE2BBB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87D" w:rsidRPr="00705EA9" w:rsidRDefault="00E7687D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EA9" w:rsidRDefault="00705EA9" w:rsidP="00705EA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87D" w:rsidRDefault="00E7687D" w:rsidP="00E7687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7687D" w:rsidRDefault="00E7687D" w:rsidP="00E7687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7687D" w:rsidRDefault="00E7687D" w:rsidP="00E7687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7687D" w:rsidRDefault="00E7687D" w:rsidP="00E7687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7687D" w:rsidRDefault="00E7687D" w:rsidP="00E7687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7687D" w:rsidRDefault="00E7687D" w:rsidP="00E7687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E7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66"/>
    <w:rsid w:val="000737D7"/>
    <w:rsid w:val="003248B1"/>
    <w:rsid w:val="00437DD5"/>
    <w:rsid w:val="00441D6C"/>
    <w:rsid w:val="004B069E"/>
    <w:rsid w:val="00594861"/>
    <w:rsid w:val="00671881"/>
    <w:rsid w:val="006724CA"/>
    <w:rsid w:val="00705EA9"/>
    <w:rsid w:val="00767B12"/>
    <w:rsid w:val="007C2146"/>
    <w:rsid w:val="00821168"/>
    <w:rsid w:val="00877966"/>
    <w:rsid w:val="009072AA"/>
    <w:rsid w:val="0091163D"/>
    <w:rsid w:val="00AE5F40"/>
    <w:rsid w:val="00B34A4E"/>
    <w:rsid w:val="00C95714"/>
    <w:rsid w:val="00E7687D"/>
    <w:rsid w:val="00EE2BBB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morodnyaya\&#1086;&#1073;&#1097;&#1072;&#1103;\&#1050;&#1086;&#1084;&#1080;&#1089;&#1089;&#1080;&#1103;%20&#1079;&#1072;&#1076;&#1086;&#1083;&#1078;&#1077;&#1085;&#1085;&#1086;&#1089;&#1090;&#1100;%20&#1079;&#1072;%20&#1046;&#1050;&#1059;\&#1054;&#1090;&#1095;&#1077;&#1090;&#1099;\&#1054;&#1090;&#1095;&#1077;&#1090;%20&#1079;&#1072;%204%20&#1082;&#1074;&#1072;&#1088;&#1090;&#1072;&#1083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morodnyaya\&#1086;&#1073;&#1097;&#1072;&#1103;\&#1050;&#1086;&#1084;&#1080;&#1089;&#1089;&#1080;&#1103;%20&#1079;&#1072;&#1076;&#1086;&#1083;&#1078;&#1077;&#1085;&#1085;&#1086;&#1089;&#1090;&#1100;%20&#1079;&#1072;%20&#1046;&#1050;&#1059;\&#1054;&#1090;&#1095;&#1077;&#1090;&#1099;\&#1054;&#1090;&#1095;&#1077;&#1090;%20&#1079;&#1072;%204%20&#1082;&#1074;&#1072;&#1088;&#1090;&#1072;&#1083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morodnyaya\&#1086;&#1073;&#1097;&#1072;&#1103;\&#1050;&#1086;&#1084;&#1080;&#1089;&#1089;&#1080;&#1103;%20&#1079;&#1072;&#1076;&#1086;&#1083;&#1078;&#1077;&#1085;&#1085;&#1086;&#1089;&#1090;&#1100;%20&#1079;&#1072;%20&#1046;&#1050;&#1059;\&#1054;&#1090;&#1095;&#1077;&#1090;&#1099;\&#1054;&#1090;&#1095;&#1077;&#1090;%20&#1079;&#1072;%204%20&#1082;&#1074;&#1072;&#1088;&#1090;&#1072;&#1083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Информация о задолженности населения, РСО, УО и прочих организаций за услуги ЖКХ (в т.ч. капремонт) по состоянию на 01.10.2015, тыс. руб.</a:t>
            </a:r>
          </a:p>
        </c:rich>
      </c:tx>
      <c:layout>
        <c:manualLayout>
          <c:xMode val="edge"/>
          <c:yMode val="edge"/>
          <c:x val="0.13993724468651944"/>
          <c:y val="2.8923734960480366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721034870641169"/>
          <c:y val="0.3747199976071367"/>
          <c:w val="0.55218142286669614"/>
          <c:h val="0.4085967675093245"/>
        </c:manualLayout>
      </c:layout>
      <c:pie3DChart>
        <c:varyColors val="1"/>
        <c:ser>
          <c:idx val="0"/>
          <c:order val="0"/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</c:spPr>
          <c:dPt>
            <c:idx val="0"/>
            <c:bubble3D val="0"/>
            <c:spPr>
              <a:gradFill>
                <a:gsLst>
                  <a:gs pos="0">
                    <a:srgbClr val="2217B1"/>
                  </a:gs>
                  <a:gs pos="39999">
                    <a:srgbClr val="3A2DE3"/>
                  </a:gs>
                  <a:gs pos="70000">
                    <a:srgbClr val="7067EB"/>
                  </a:gs>
                  <a:gs pos="100000">
                    <a:srgbClr val="C6D9F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B41630"/>
                  </a:gs>
                  <a:gs pos="39999">
                    <a:srgbClr val="E8404C"/>
                  </a:gs>
                  <a:gs pos="70000">
                    <a:srgbClr val="F45656"/>
                  </a:gs>
                  <a:gs pos="100000">
                    <a:srgbClr val="FD8D95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189818"/>
                  </a:gs>
                  <a:gs pos="39999">
                    <a:srgbClr val="43E143"/>
                  </a:gs>
                  <a:gs pos="70000">
                    <a:srgbClr val="8FED8F"/>
                  </a:gs>
                  <a:gs pos="100000">
                    <a:srgbClr val="9CFAB5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632B9B"/>
                  </a:gs>
                  <a:gs pos="39999">
                    <a:srgbClr val="9457D1"/>
                  </a:gs>
                  <a:gs pos="70000">
                    <a:srgbClr val="BA93E1"/>
                  </a:gs>
                  <a:gs pos="100000">
                    <a:srgbClr val="E6E0EC"/>
                  </a:gs>
                </a:gsLst>
                <a:lin ang="5400000" scaled="0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E46C0A"/>
                  </a:gs>
                  <a:gs pos="39999">
                    <a:srgbClr val="FAC090"/>
                  </a:gs>
                  <a:gs pos="70000">
                    <a:srgbClr val="FCD5B5"/>
                  </a:gs>
                  <a:gs pos="100000">
                    <a:srgbClr val="FDEADA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2.2479565654396617E-2"/>
                  <c:y val="-1.5012653248724818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Население          (174 305)
44%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8766404199475065E-2"/>
                  <c:y val="4.865887490559406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3548438024194344E-3"/>
                  <c:y val="-5.9755778390948996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Местный бюджет           (20 258)
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185708488254407E-2"/>
                  <c:y val="4.8990816954666873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Прочие организации       (170 153)
43%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3063228938487953"/>
                  <c:y val="5.5947237364560198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Управляющие компании        (2 257)</a:t>
                    </a:r>
                    <a:r>
                      <a:rPr lang="ru-RU" sz="1050" b="1" baseline="0"/>
                      <a:t>   </a:t>
                    </a:r>
                  </a:p>
                  <a:p>
                    <a:r>
                      <a:rPr lang="ru-RU" sz="1050" b="1"/>
                      <a:t>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407544451680382"/>
                  <c:y val="1.15156545602739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Лист1!$H$2:$M$2</c:f>
              <c:strCache>
                <c:ptCount val="6"/>
                <c:pt idx="0">
                  <c:v>Население (174 305)</c:v>
                </c:pt>
                <c:pt idx="1">
                  <c:v>ККТС (27 843)</c:v>
                </c:pt>
                <c:pt idx="2">
                  <c:v>Местный бюджет (20 258)</c:v>
                </c:pt>
                <c:pt idx="3">
                  <c:v>Прочие организации (170 153)</c:v>
                </c:pt>
                <c:pt idx="4">
                  <c:v>Управляющие компании (2 257)</c:v>
                </c:pt>
                <c:pt idx="5">
                  <c:v>ООО "ТНС-Н" (832) </c:v>
                </c:pt>
              </c:strCache>
            </c:strRef>
          </c:cat>
          <c:val>
            <c:numRef>
              <c:f>Лист1!$H$3:$M$3</c:f>
              <c:numCache>
                <c:formatCode>#,##0</c:formatCode>
                <c:ptCount val="6"/>
                <c:pt idx="0">
                  <c:v>174305</c:v>
                </c:pt>
                <c:pt idx="1">
                  <c:v>27843</c:v>
                </c:pt>
                <c:pt idx="2">
                  <c:v>20258</c:v>
                </c:pt>
                <c:pt idx="3">
                  <c:v>170153</c:v>
                </c:pt>
                <c:pt idx="4">
                  <c:v>2257</c:v>
                </c:pt>
                <c:pt idx="5">
                  <c:v>832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Информация о задолженности населения, РСО, УО и прочих организаций за услуги ЖКХ (в т.ч. капремонт) по состоянию на 01.10.2015 и 01.12.2015 (тыс. руб.)</a:t>
            </a:r>
          </a:p>
        </c:rich>
      </c:tx>
      <c:layout>
        <c:manualLayout>
          <c:xMode val="edge"/>
          <c:yMode val="edge"/>
          <c:x val="0.13345038559716912"/>
          <c:y val="1.272304511856778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5.4807831696852646E-2"/>
          <c:y val="0.16114469562272457"/>
          <c:w val="0.95432271427797744"/>
          <c:h val="0.5209444585555838"/>
        </c:manualLayout>
      </c:layout>
      <c:bar3DChart>
        <c:barDir val="col"/>
        <c:grouping val="clustered"/>
        <c:varyColors val="0"/>
        <c:ser>
          <c:idx val="0"/>
          <c:order val="0"/>
          <c:tx>
            <c:v>на 01.10.2015</c:v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4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1.800281134453535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+mn-lt"/>
                        <a:cs typeface="Times New Roman" pitchFamily="18" charset="0"/>
                      </a:rPr>
                      <a:t>200 094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717799669979646E-2"/>
                  <c:y val="-2.987802175135354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11 923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002860464291965E-2"/>
                  <c:y val="-1.493969706422464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93 043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002811344535359E-2"/>
                  <c:y val="3.734826165898037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18 759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564206879688311E-2"/>
                  <c:y val="-7.4697112944027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45145406335088E-5"/>
                  <c:y val="-1.1951483175960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7510542542007597E-3"/>
                  <c:y val="3.7348261658980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Лист1!$B$6:$H$6</c:f>
              <c:strCache>
                <c:ptCount val="7"/>
                <c:pt idx="0">
                  <c:v>Электроэнергия</c:v>
                </c:pt>
                <c:pt idx="1">
                  <c:v>Газоснабжение</c:v>
                </c:pt>
                <c:pt idx="2">
                  <c:v>Теплоэнергия</c:v>
                </c:pt>
                <c:pt idx="3">
                  <c:v>Водоснабжение</c:v>
                </c:pt>
                <c:pt idx="4">
                  <c:v>Прочие энергоресурсы</c:v>
                </c:pt>
                <c:pt idx="5">
                  <c:v>Содержание жилья (УК)</c:v>
                </c:pt>
                <c:pt idx="6">
                  <c:v>Капремонт</c:v>
                </c:pt>
              </c:strCache>
            </c:strRef>
          </c:cat>
          <c:val>
            <c:numRef>
              <c:f>Лист1!$B$7:$H$7</c:f>
              <c:numCache>
                <c:formatCode>#,##0</c:formatCode>
                <c:ptCount val="7"/>
                <c:pt idx="0">
                  <c:v>200094</c:v>
                </c:pt>
                <c:pt idx="1">
                  <c:v>11923</c:v>
                </c:pt>
                <c:pt idx="2">
                  <c:v>93043</c:v>
                </c:pt>
                <c:pt idx="3">
                  <c:v>18759</c:v>
                </c:pt>
                <c:pt idx="4">
                  <c:v>13108</c:v>
                </c:pt>
                <c:pt idx="5">
                  <c:v>39803</c:v>
                </c:pt>
                <c:pt idx="6">
                  <c:v>18918</c:v>
                </c:pt>
              </c:numCache>
            </c:numRef>
          </c:val>
        </c:ser>
        <c:ser>
          <c:idx val="1"/>
          <c:order val="1"/>
          <c:tx>
            <c:v>на 01.12.2015</c:v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2.7073472261431107E-2"/>
                  <c:y val="-1.158814949990666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206 289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710364765873931E-2"/>
                  <c:y val="-1.2450205012552447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43 479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06857719340196E-2"/>
                  <c:y val="-1.170239673308377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99 107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02190329730674E-2"/>
                  <c:y val="-1.419230049788468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20 645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2545684348699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504919852936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108377914509579E-2"/>
                  <c:y val="-1.3943351292717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Лист1!$B$6:$H$6</c:f>
              <c:strCache>
                <c:ptCount val="7"/>
                <c:pt idx="0">
                  <c:v>Электроэнергия</c:v>
                </c:pt>
                <c:pt idx="1">
                  <c:v>Газоснабжение</c:v>
                </c:pt>
                <c:pt idx="2">
                  <c:v>Теплоэнергия</c:v>
                </c:pt>
                <c:pt idx="3">
                  <c:v>Водоснабжение</c:v>
                </c:pt>
                <c:pt idx="4">
                  <c:v>Прочие энергоресурсы</c:v>
                </c:pt>
                <c:pt idx="5">
                  <c:v>Содержание жилья (УК)</c:v>
                </c:pt>
                <c:pt idx="6">
                  <c:v>Капремонт</c:v>
                </c:pt>
              </c:strCache>
            </c:strRef>
          </c:cat>
          <c:val>
            <c:numRef>
              <c:f>Лист1!$B$8:$H$8</c:f>
              <c:numCache>
                <c:formatCode>#,##0</c:formatCode>
                <c:ptCount val="7"/>
                <c:pt idx="0">
                  <c:v>206289</c:v>
                </c:pt>
                <c:pt idx="1">
                  <c:v>43479</c:v>
                </c:pt>
                <c:pt idx="2">
                  <c:v>99107</c:v>
                </c:pt>
                <c:pt idx="3">
                  <c:v>20645</c:v>
                </c:pt>
                <c:pt idx="4">
                  <c:v>11463</c:v>
                </c:pt>
                <c:pt idx="5">
                  <c:v>37010</c:v>
                </c:pt>
                <c:pt idx="6">
                  <c:v>19917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944832"/>
        <c:axId val="173946368"/>
        <c:axId val="0"/>
      </c:bar3DChart>
      <c:catAx>
        <c:axId val="1739448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3946368"/>
        <c:crosses val="autoZero"/>
        <c:auto val="1"/>
        <c:lblAlgn val="ctr"/>
        <c:lblOffset val="100"/>
        <c:noMultiLvlLbl val="0"/>
      </c:catAx>
      <c:valAx>
        <c:axId val="1739463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1"/>
        <c:majorTickMark val="none"/>
        <c:minorTickMark val="none"/>
        <c:tickLblPos val="nextTo"/>
        <c:crossAx val="173944832"/>
        <c:crosses val="autoZero"/>
        <c:crossBetween val="between"/>
        <c:majorUnit val="25000"/>
      </c:valAx>
      <c:spPr>
        <a:noFill/>
      </c:spPr>
    </c:plotArea>
    <c:legend>
      <c:legendPos val="r"/>
      <c:layout>
        <c:manualLayout>
          <c:xMode val="edge"/>
          <c:yMode val="edge"/>
          <c:x val="0.2613343057675252"/>
          <c:y val="0.93770387215788342"/>
          <c:w val="0.44784798552099114"/>
          <c:h val="4.8023568959705359E-2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Информация о задолженности населения, РСО, УО и прочих организаций за услуги ЖКХ (в т.ч. капремонт) по состоянию на 01.12.2015, тыс. руб.</a:t>
            </a:r>
          </a:p>
        </c:rich>
      </c:tx>
      <c:layout>
        <c:manualLayout>
          <c:xMode val="edge"/>
          <c:yMode val="edge"/>
          <c:x val="0.10234321447679012"/>
          <c:y val="2.8922618785992434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38097572433795"/>
          <c:y val="0.32593510917518287"/>
          <c:w val="0.62289490078331644"/>
          <c:h val="0.4631348386416236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0">
                    <a:srgbClr val="2217B1">
                      <a:lumMod val="100000"/>
                    </a:srgbClr>
                  </a:gs>
                  <a:gs pos="39999">
                    <a:srgbClr val="3A2DE3"/>
                  </a:gs>
                  <a:gs pos="70000">
                    <a:srgbClr val="7067EB"/>
                  </a:gs>
                  <a:gs pos="100000">
                    <a:srgbClr val="C6D9F1">
                      <a:lumMod val="100000"/>
                    </a:srgbClr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B41630"/>
                  </a:gs>
                  <a:gs pos="39999">
                    <a:srgbClr val="E8404C"/>
                  </a:gs>
                  <a:gs pos="70000">
                    <a:srgbClr val="F45656"/>
                  </a:gs>
                  <a:gs pos="100000">
                    <a:srgbClr val="FD8D95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189818"/>
                  </a:gs>
                  <a:gs pos="39999">
                    <a:srgbClr val="43E143"/>
                  </a:gs>
                  <a:gs pos="70000">
                    <a:srgbClr val="8FED8F"/>
                  </a:gs>
                  <a:gs pos="100000">
                    <a:srgbClr val="9CFAB5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632B9B"/>
                  </a:gs>
                  <a:gs pos="39999">
                    <a:srgbClr val="9457D1"/>
                  </a:gs>
                  <a:gs pos="70000">
                    <a:srgbClr val="BA93E1"/>
                  </a:gs>
                  <a:gs pos="100000">
                    <a:srgbClr val="E6E0EC"/>
                  </a:gs>
                </a:gsLst>
                <a:lin ang="5400000" scaled="0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46C0A"/>
                  </a:gs>
                  <a:gs pos="39999">
                    <a:srgbClr val="FAC090"/>
                  </a:gs>
                  <a:gs pos="70000">
                    <a:srgbClr val="FCD5B5"/>
                  </a:gs>
                  <a:gs pos="100000">
                    <a:srgbClr val="FDEADA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3.5470253718285216E-2"/>
                  <c:y val="-2.8033503460251026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Население            (196 526)
45%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2828757914081416E-2"/>
                  <c:y val="1.002706692913385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417552151008389E-2"/>
                  <c:y val="-2.1769607052876745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Местный бюджет          (20 258)
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7446665320681069E-2"/>
                  <c:y val="-3.1325434225119566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Прочие организации       (170 153)
43%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592072878049777"/>
                  <c:y val="2.547706359400110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Управляющие компании        (2 411)
0%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5606033681587467"/>
                  <c:y val="1.715257224052667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ООО "ТНС-Н"      (2 894) 
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Лист1!$B$2:$G$2</c:f>
              <c:strCache>
                <c:ptCount val="6"/>
                <c:pt idx="0">
                  <c:v>Население (196 526)</c:v>
                </c:pt>
                <c:pt idx="1">
                  <c:v>ККТС (47 795)</c:v>
                </c:pt>
                <c:pt idx="2">
                  <c:v>Местный бюджет (14 375)</c:v>
                </c:pt>
                <c:pt idx="3">
                  <c:v>Прочие организации (173 909)</c:v>
                </c:pt>
                <c:pt idx="4">
                  <c:v>Управляющие компании (2 411)</c:v>
                </c:pt>
                <c:pt idx="5">
                  <c:v>ООО "ТНС-Н" (2 894) </c:v>
                </c:pt>
              </c:strCache>
            </c:strRef>
          </c:cat>
          <c:val>
            <c:numRef>
              <c:f>Лист1!$B$3:$G$3</c:f>
              <c:numCache>
                <c:formatCode>#,##0</c:formatCode>
                <c:ptCount val="6"/>
                <c:pt idx="0">
                  <c:v>196526</c:v>
                </c:pt>
                <c:pt idx="1">
                  <c:v>47795</c:v>
                </c:pt>
                <c:pt idx="2">
                  <c:v>14375</c:v>
                </c:pt>
                <c:pt idx="3">
                  <c:v>173909</c:v>
                </c:pt>
                <c:pt idx="4">
                  <c:v>2411</c:v>
                </c:pt>
                <c:pt idx="5">
                  <c:v>2894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IRU-2</cp:lastModifiedBy>
  <cp:revision>2</cp:revision>
  <cp:lastPrinted>2016-01-19T11:56:00Z</cp:lastPrinted>
  <dcterms:created xsi:type="dcterms:W3CDTF">2016-02-08T13:23:00Z</dcterms:created>
  <dcterms:modified xsi:type="dcterms:W3CDTF">2016-02-08T13:23:00Z</dcterms:modified>
</cp:coreProperties>
</file>