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7" w:rsidRPr="00A91704" w:rsidRDefault="00195387" w:rsidP="00A91704">
      <w:pPr>
        <w:spacing w:line="240" w:lineRule="auto"/>
        <w:ind w:left="-709" w:firstLine="709"/>
        <w:jc w:val="center"/>
        <w:rPr>
          <w:rFonts w:ascii="Arial" w:hAnsi="Arial" w:cs="Arial"/>
          <w:sz w:val="24"/>
          <w:szCs w:val="24"/>
        </w:rPr>
      </w:pPr>
      <w:r w:rsidRPr="00A91704">
        <w:rPr>
          <w:rFonts w:ascii="Arial" w:hAnsi="Arial" w:cs="Arial"/>
          <w:sz w:val="24"/>
          <w:szCs w:val="24"/>
        </w:rPr>
        <w:t>Информация о деятельности малых и средних предприятий по состоянию на 1 апреля 2015 года.</w:t>
      </w:r>
    </w:p>
    <w:p w:rsidR="00B94ECA" w:rsidRDefault="00AA142D" w:rsidP="004E7959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CC0157">
        <w:rPr>
          <w:rFonts w:ascii="Arial" w:hAnsi="Arial" w:cs="Arial"/>
          <w:sz w:val="24"/>
          <w:szCs w:val="24"/>
        </w:rPr>
        <w:t xml:space="preserve">Согласно статистическим данным за </w:t>
      </w:r>
      <w:r w:rsidR="00F02206" w:rsidRPr="00B35EF7">
        <w:rPr>
          <w:rFonts w:ascii="Arial" w:hAnsi="Arial" w:cs="Arial"/>
          <w:sz w:val="24"/>
          <w:szCs w:val="24"/>
        </w:rPr>
        <w:t>1</w:t>
      </w:r>
      <w:r w:rsidRPr="00B35EF7">
        <w:rPr>
          <w:rFonts w:ascii="Arial" w:hAnsi="Arial" w:cs="Arial"/>
          <w:sz w:val="24"/>
          <w:szCs w:val="24"/>
        </w:rPr>
        <w:t xml:space="preserve"> квартал 2015 </w:t>
      </w:r>
      <w:r w:rsidRPr="00CC0157">
        <w:rPr>
          <w:rFonts w:ascii="Arial" w:hAnsi="Arial" w:cs="Arial"/>
          <w:sz w:val="24"/>
          <w:szCs w:val="24"/>
        </w:rPr>
        <w:t xml:space="preserve">года в городе осуществляет деятельность 319 </w:t>
      </w:r>
      <w:r w:rsidR="00A63C37" w:rsidRPr="00CC0157">
        <w:rPr>
          <w:rFonts w:ascii="Arial" w:hAnsi="Arial" w:cs="Arial"/>
          <w:sz w:val="24"/>
          <w:szCs w:val="24"/>
        </w:rPr>
        <w:t xml:space="preserve">малых предприятий </w:t>
      </w:r>
      <w:r w:rsidRPr="00CC0157">
        <w:rPr>
          <w:rFonts w:ascii="Arial" w:hAnsi="Arial" w:cs="Arial"/>
          <w:sz w:val="24"/>
          <w:szCs w:val="24"/>
        </w:rPr>
        <w:t xml:space="preserve">и </w:t>
      </w:r>
      <w:r w:rsidR="00A63C37" w:rsidRPr="004E7959">
        <w:rPr>
          <w:rFonts w:ascii="Arial" w:hAnsi="Arial" w:cs="Arial"/>
          <w:sz w:val="24"/>
          <w:szCs w:val="24"/>
        </w:rPr>
        <w:t>10</w:t>
      </w:r>
      <w:r w:rsidR="00A63C37" w:rsidRPr="00CC0157">
        <w:rPr>
          <w:rFonts w:ascii="Arial" w:hAnsi="Arial" w:cs="Arial"/>
          <w:sz w:val="24"/>
          <w:szCs w:val="24"/>
        </w:rPr>
        <w:t xml:space="preserve"> средних предприятий</w:t>
      </w:r>
      <w:r w:rsidR="00CC0157" w:rsidRPr="00CC0157">
        <w:rPr>
          <w:rFonts w:ascii="Arial" w:hAnsi="Arial" w:cs="Arial"/>
          <w:sz w:val="24"/>
          <w:szCs w:val="24"/>
        </w:rPr>
        <w:t>.</w:t>
      </w:r>
      <w:r w:rsidR="004E7959">
        <w:rPr>
          <w:rFonts w:ascii="Arial" w:hAnsi="Arial" w:cs="Arial"/>
          <w:sz w:val="24"/>
          <w:szCs w:val="24"/>
        </w:rPr>
        <w:t xml:space="preserve"> Количество малых предприятий выросло на 1%, по сравнению с </w:t>
      </w:r>
      <w:r w:rsidR="00F02206">
        <w:rPr>
          <w:rFonts w:ascii="Arial" w:hAnsi="Arial" w:cs="Arial"/>
          <w:sz w:val="24"/>
          <w:szCs w:val="24"/>
        </w:rPr>
        <w:t>1</w:t>
      </w:r>
      <w:r w:rsidR="004E7959">
        <w:rPr>
          <w:rFonts w:ascii="Arial" w:hAnsi="Arial" w:cs="Arial"/>
          <w:sz w:val="24"/>
          <w:szCs w:val="24"/>
        </w:rPr>
        <w:t xml:space="preserve"> кварталом 2014 года.</w:t>
      </w:r>
      <w:r w:rsidR="000E25F8">
        <w:rPr>
          <w:rFonts w:ascii="Arial" w:hAnsi="Arial" w:cs="Arial"/>
          <w:sz w:val="24"/>
          <w:szCs w:val="24"/>
        </w:rPr>
        <w:t xml:space="preserve"> На 1,0 тыс. чел. населения города приходится 3 малых предприятия</w:t>
      </w:r>
      <w:r w:rsidR="00B94ECA">
        <w:rPr>
          <w:rFonts w:ascii="Arial" w:hAnsi="Arial" w:cs="Arial"/>
          <w:sz w:val="24"/>
          <w:szCs w:val="24"/>
        </w:rPr>
        <w:t>, это наименьший показатель среди городских округов Ростовской области</w:t>
      </w:r>
      <w:r w:rsidR="00B06191">
        <w:rPr>
          <w:rFonts w:ascii="Arial" w:hAnsi="Arial" w:cs="Arial"/>
          <w:sz w:val="24"/>
          <w:szCs w:val="24"/>
        </w:rPr>
        <w:t xml:space="preserve"> </w:t>
      </w:r>
      <w:r w:rsidR="00B06191" w:rsidRPr="00B06191">
        <w:rPr>
          <w:rFonts w:ascii="Arial" w:hAnsi="Arial" w:cs="Arial"/>
          <w:sz w:val="24"/>
          <w:szCs w:val="24"/>
        </w:rPr>
        <w:t>(</w:t>
      </w:r>
      <w:proofErr w:type="spellStart"/>
      <w:r w:rsidR="00B06191" w:rsidRPr="00B06191">
        <w:rPr>
          <w:rFonts w:ascii="Arial" w:hAnsi="Arial" w:cs="Arial"/>
          <w:sz w:val="24"/>
          <w:szCs w:val="24"/>
        </w:rPr>
        <w:t>среднеобластное</w:t>
      </w:r>
      <w:proofErr w:type="spellEnd"/>
      <w:r w:rsidR="00B06191" w:rsidRPr="00B06191">
        <w:rPr>
          <w:rFonts w:ascii="Arial" w:hAnsi="Arial" w:cs="Arial"/>
          <w:sz w:val="24"/>
          <w:szCs w:val="24"/>
        </w:rPr>
        <w:t xml:space="preserve"> значение – </w:t>
      </w:r>
      <w:r w:rsidR="00B06191">
        <w:rPr>
          <w:rFonts w:ascii="Arial" w:hAnsi="Arial" w:cs="Arial"/>
          <w:sz w:val="24"/>
          <w:szCs w:val="24"/>
        </w:rPr>
        <w:t>13,1</w:t>
      </w:r>
      <w:r w:rsidR="00B06191" w:rsidRPr="00B06191">
        <w:rPr>
          <w:rFonts w:ascii="Arial" w:hAnsi="Arial" w:cs="Arial"/>
          <w:sz w:val="24"/>
          <w:szCs w:val="24"/>
        </w:rPr>
        <w:t xml:space="preserve"> предприятий)</w:t>
      </w:r>
      <w:r w:rsidR="00030CFF">
        <w:rPr>
          <w:rFonts w:ascii="Arial" w:hAnsi="Arial" w:cs="Arial"/>
          <w:sz w:val="24"/>
          <w:szCs w:val="24"/>
        </w:rPr>
        <w:t>.</w:t>
      </w:r>
    </w:p>
    <w:p w:rsidR="006B7117" w:rsidRDefault="006B7117" w:rsidP="00CD35E7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1 квартала 2015 года на малых и средних предприятиях трудится </w:t>
      </w:r>
      <w:r w:rsidR="00CD35E7">
        <w:rPr>
          <w:rFonts w:ascii="Arial" w:hAnsi="Arial" w:cs="Arial"/>
          <w:sz w:val="24"/>
          <w:szCs w:val="24"/>
        </w:rPr>
        <w:t xml:space="preserve">2785 человека, </w:t>
      </w:r>
      <w:r w:rsidR="00CD35E7" w:rsidRPr="00CD35E7">
        <w:rPr>
          <w:rFonts w:ascii="Arial" w:hAnsi="Arial" w:cs="Arial"/>
          <w:sz w:val="24"/>
          <w:szCs w:val="24"/>
        </w:rPr>
        <w:t>темп рост</w:t>
      </w:r>
      <w:r w:rsidR="00CD35E7">
        <w:rPr>
          <w:rFonts w:ascii="Arial" w:hAnsi="Arial" w:cs="Arial"/>
          <w:sz w:val="24"/>
          <w:szCs w:val="24"/>
        </w:rPr>
        <w:t xml:space="preserve">а работающих на малых и средних </w:t>
      </w:r>
      <w:r w:rsidR="00CD35E7" w:rsidRPr="00CD35E7">
        <w:rPr>
          <w:rFonts w:ascii="Arial" w:hAnsi="Arial" w:cs="Arial"/>
          <w:sz w:val="24"/>
          <w:szCs w:val="24"/>
        </w:rPr>
        <w:t xml:space="preserve">предприятиях составил </w:t>
      </w:r>
      <w:r w:rsidR="000E1D75">
        <w:rPr>
          <w:rFonts w:ascii="Arial" w:hAnsi="Arial" w:cs="Arial"/>
          <w:sz w:val="24"/>
          <w:szCs w:val="24"/>
        </w:rPr>
        <w:t>112,21</w:t>
      </w:r>
      <w:r w:rsidR="00CD35E7" w:rsidRPr="00CD35E7">
        <w:rPr>
          <w:rFonts w:ascii="Arial" w:hAnsi="Arial" w:cs="Arial"/>
          <w:sz w:val="24"/>
          <w:szCs w:val="24"/>
        </w:rPr>
        <w:t>%,</w:t>
      </w:r>
      <w:r w:rsidR="008670FF">
        <w:rPr>
          <w:rFonts w:ascii="Arial" w:hAnsi="Arial" w:cs="Arial"/>
          <w:sz w:val="24"/>
          <w:szCs w:val="24"/>
        </w:rPr>
        <w:t xml:space="preserve"> </w:t>
      </w:r>
      <w:r w:rsidR="008670FF" w:rsidRPr="008670FF">
        <w:rPr>
          <w:rFonts w:ascii="Arial" w:hAnsi="Arial" w:cs="Arial"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19,6%</w:t>
      </w:r>
      <w:r w:rsidR="008670FF">
        <w:rPr>
          <w:rFonts w:ascii="Arial" w:hAnsi="Arial" w:cs="Arial"/>
          <w:sz w:val="24"/>
          <w:szCs w:val="24"/>
        </w:rPr>
        <w:t>, тогда как в среднем по области 27,3%.</w:t>
      </w:r>
    </w:p>
    <w:p w:rsidR="00445F6F" w:rsidRDefault="003A6F49" w:rsidP="00195387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Среднесписочная численность работников средних предприятий составила 784 человек, что на 36,11% больше</w:t>
      </w:r>
      <w:r w:rsidR="00195387">
        <w:rPr>
          <w:rFonts w:ascii="Arial" w:hAnsi="Arial" w:cs="Arial"/>
          <w:sz w:val="24"/>
          <w:szCs w:val="24"/>
        </w:rPr>
        <w:t>, чем за</w:t>
      </w:r>
      <w:r>
        <w:rPr>
          <w:rFonts w:ascii="Arial" w:hAnsi="Arial" w:cs="Arial"/>
          <w:sz w:val="24"/>
          <w:szCs w:val="24"/>
        </w:rPr>
        <w:t xml:space="preserve"> аналогичн</w:t>
      </w:r>
      <w:r w:rsidR="00195387">
        <w:rPr>
          <w:rFonts w:ascii="Arial" w:hAnsi="Arial" w:cs="Arial"/>
          <w:sz w:val="24"/>
          <w:szCs w:val="24"/>
        </w:rPr>
        <w:t>ый период</w:t>
      </w:r>
      <w:r>
        <w:rPr>
          <w:rFonts w:ascii="Arial" w:hAnsi="Arial" w:cs="Arial"/>
          <w:sz w:val="24"/>
          <w:szCs w:val="24"/>
        </w:rPr>
        <w:t xml:space="preserve"> прошлого года. </w:t>
      </w:r>
      <w:r w:rsidR="008B4946">
        <w:rPr>
          <w:rFonts w:ascii="Arial" w:hAnsi="Arial" w:cs="Arial"/>
          <w:sz w:val="24"/>
          <w:szCs w:val="24"/>
        </w:rPr>
        <w:t>Среднемесячная начисленная заработ</w:t>
      </w:r>
      <w:bookmarkStart w:id="0" w:name="_GoBack"/>
      <w:bookmarkEnd w:id="0"/>
      <w:r w:rsidR="008B4946">
        <w:rPr>
          <w:rFonts w:ascii="Arial" w:hAnsi="Arial" w:cs="Arial"/>
          <w:sz w:val="24"/>
          <w:szCs w:val="24"/>
        </w:rPr>
        <w:t>ная плата работников средних предприятий с</w:t>
      </w:r>
      <w:r w:rsidR="00195387">
        <w:rPr>
          <w:rFonts w:ascii="Arial" w:hAnsi="Arial" w:cs="Arial"/>
          <w:sz w:val="24"/>
          <w:szCs w:val="24"/>
        </w:rPr>
        <w:t>ложилась в сумме</w:t>
      </w:r>
      <w:r w:rsidR="008B4946">
        <w:rPr>
          <w:rFonts w:ascii="Arial" w:hAnsi="Arial" w:cs="Arial"/>
          <w:sz w:val="24"/>
          <w:szCs w:val="24"/>
        </w:rPr>
        <w:t xml:space="preserve"> 15178,3 рублей, что на </w:t>
      </w:r>
      <w:r w:rsidR="00911B3D">
        <w:rPr>
          <w:rFonts w:ascii="Arial" w:hAnsi="Arial" w:cs="Arial"/>
          <w:sz w:val="24"/>
          <w:szCs w:val="24"/>
        </w:rPr>
        <w:t>7,42% в</w:t>
      </w:r>
      <w:r w:rsidR="00445F6F">
        <w:rPr>
          <w:rFonts w:ascii="Arial" w:hAnsi="Arial" w:cs="Arial"/>
          <w:sz w:val="24"/>
          <w:szCs w:val="24"/>
        </w:rPr>
        <w:t>ыше, чем в 1 квартале 2014 года, но ниже на 23,20% средней заработной платы по области (19764,9 руб</w:t>
      </w:r>
      <w:r w:rsidR="00FC591E">
        <w:rPr>
          <w:rFonts w:ascii="Arial" w:hAnsi="Arial" w:cs="Arial"/>
          <w:sz w:val="24"/>
          <w:szCs w:val="24"/>
        </w:rPr>
        <w:t>.</w:t>
      </w:r>
      <w:r w:rsidR="00445F6F">
        <w:rPr>
          <w:rFonts w:ascii="Arial" w:hAnsi="Arial" w:cs="Arial"/>
          <w:sz w:val="24"/>
          <w:szCs w:val="24"/>
        </w:rPr>
        <w:t>).</w:t>
      </w:r>
    </w:p>
    <w:p w:rsidR="00A36CB2" w:rsidRDefault="00911B3D" w:rsidP="00D000B4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Среднесписочная численность работников малых предприятий составила </w:t>
      </w:r>
      <w:r w:rsidR="00D000B4">
        <w:rPr>
          <w:rFonts w:ascii="Arial" w:hAnsi="Arial" w:cs="Arial"/>
          <w:sz w:val="24"/>
          <w:szCs w:val="24"/>
        </w:rPr>
        <w:t xml:space="preserve">2001 человек, что на </w:t>
      </w:r>
      <w:r w:rsidR="000E1D75">
        <w:rPr>
          <w:rFonts w:ascii="Arial" w:hAnsi="Arial" w:cs="Arial"/>
          <w:sz w:val="24"/>
          <w:szCs w:val="24"/>
        </w:rPr>
        <w:t>4</w:t>
      </w:r>
      <w:r w:rsidR="00D000B4">
        <w:rPr>
          <w:rFonts w:ascii="Arial" w:hAnsi="Arial" w:cs="Arial"/>
          <w:sz w:val="24"/>
          <w:szCs w:val="24"/>
        </w:rPr>
        <w:t>,</w:t>
      </w:r>
      <w:r w:rsidR="000E1D75">
        <w:rPr>
          <w:rFonts w:ascii="Arial" w:hAnsi="Arial" w:cs="Arial"/>
          <w:sz w:val="24"/>
          <w:szCs w:val="24"/>
        </w:rPr>
        <w:t>98</w:t>
      </w:r>
      <w:r w:rsidR="00D000B4">
        <w:rPr>
          <w:rFonts w:ascii="Arial" w:hAnsi="Arial" w:cs="Arial"/>
          <w:sz w:val="24"/>
          <w:szCs w:val="24"/>
        </w:rPr>
        <w:t xml:space="preserve">% </w:t>
      </w:r>
      <w:r w:rsidR="000E1D75">
        <w:rPr>
          <w:rFonts w:ascii="Arial" w:hAnsi="Arial" w:cs="Arial"/>
          <w:sz w:val="24"/>
          <w:szCs w:val="24"/>
        </w:rPr>
        <w:t xml:space="preserve">больше </w:t>
      </w:r>
      <w:r w:rsidR="00D000B4">
        <w:rPr>
          <w:rFonts w:ascii="Arial" w:hAnsi="Arial" w:cs="Arial"/>
          <w:sz w:val="24"/>
          <w:szCs w:val="24"/>
        </w:rPr>
        <w:t>аналогичного периода прошлого года.</w:t>
      </w:r>
      <w:r w:rsidR="0021220C">
        <w:rPr>
          <w:rFonts w:ascii="Arial" w:hAnsi="Arial" w:cs="Arial"/>
          <w:sz w:val="24"/>
          <w:szCs w:val="24"/>
        </w:rPr>
        <w:t xml:space="preserve"> </w:t>
      </w:r>
      <w:r w:rsidR="00D000B4">
        <w:rPr>
          <w:rFonts w:ascii="Arial" w:hAnsi="Arial" w:cs="Arial"/>
          <w:sz w:val="24"/>
          <w:szCs w:val="24"/>
        </w:rPr>
        <w:t xml:space="preserve"> </w:t>
      </w:r>
      <w:r w:rsidR="00B94E18">
        <w:rPr>
          <w:rFonts w:ascii="Arial" w:hAnsi="Arial" w:cs="Arial"/>
          <w:sz w:val="24"/>
          <w:szCs w:val="24"/>
        </w:rPr>
        <w:t>Увеличение среднеспи</w:t>
      </w:r>
      <w:r w:rsidR="00694F50">
        <w:rPr>
          <w:rFonts w:ascii="Arial" w:hAnsi="Arial" w:cs="Arial"/>
          <w:sz w:val="24"/>
          <w:szCs w:val="24"/>
        </w:rPr>
        <w:t>сочной численности наблюдается в</w:t>
      </w:r>
      <w:r w:rsidR="00C75FA5">
        <w:rPr>
          <w:rFonts w:ascii="Arial" w:hAnsi="Arial" w:cs="Arial"/>
          <w:sz w:val="24"/>
          <w:szCs w:val="24"/>
        </w:rPr>
        <w:t xml:space="preserve"> таких отраслях, как:</w:t>
      </w:r>
      <w:r w:rsidR="00B94E18">
        <w:rPr>
          <w:rFonts w:ascii="Arial" w:hAnsi="Arial" w:cs="Arial"/>
          <w:sz w:val="24"/>
          <w:szCs w:val="24"/>
        </w:rPr>
        <w:t xml:space="preserve"> </w:t>
      </w:r>
      <w:r w:rsidR="00C75FA5">
        <w:rPr>
          <w:rFonts w:ascii="Arial" w:hAnsi="Arial" w:cs="Arial"/>
          <w:sz w:val="24"/>
          <w:szCs w:val="24"/>
        </w:rPr>
        <w:t>«</w:t>
      </w:r>
      <w:r w:rsidR="00B94E18">
        <w:rPr>
          <w:rFonts w:ascii="Arial" w:hAnsi="Arial" w:cs="Arial"/>
          <w:sz w:val="24"/>
          <w:szCs w:val="24"/>
        </w:rPr>
        <w:t>промышленн</w:t>
      </w:r>
      <w:r w:rsidR="004135D5">
        <w:rPr>
          <w:rFonts w:ascii="Arial" w:hAnsi="Arial" w:cs="Arial"/>
          <w:sz w:val="24"/>
          <w:szCs w:val="24"/>
        </w:rPr>
        <w:t>о</w:t>
      </w:r>
      <w:r w:rsidR="00C75FA5">
        <w:rPr>
          <w:rFonts w:ascii="Arial" w:hAnsi="Arial" w:cs="Arial"/>
          <w:sz w:val="24"/>
          <w:szCs w:val="24"/>
        </w:rPr>
        <w:t>е производство»</w:t>
      </w:r>
      <w:r w:rsidR="00A36CB2">
        <w:rPr>
          <w:rFonts w:ascii="Arial" w:hAnsi="Arial" w:cs="Arial"/>
          <w:sz w:val="24"/>
          <w:szCs w:val="24"/>
        </w:rPr>
        <w:t xml:space="preserve"> (темп роста 118,05%)</w:t>
      </w:r>
      <w:r w:rsidR="00172E80">
        <w:rPr>
          <w:rFonts w:ascii="Arial" w:hAnsi="Arial" w:cs="Arial"/>
          <w:sz w:val="24"/>
          <w:szCs w:val="24"/>
        </w:rPr>
        <w:t xml:space="preserve">, </w:t>
      </w:r>
      <w:r w:rsidR="00C75FA5">
        <w:rPr>
          <w:rFonts w:ascii="Arial" w:hAnsi="Arial" w:cs="Arial"/>
          <w:sz w:val="24"/>
          <w:szCs w:val="24"/>
        </w:rPr>
        <w:t>«</w:t>
      </w:r>
      <w:r w:rsidR="00172E80">
        <w:rPr>
          <w:rFonts w:ascii="Arial" w:hAnsi="Arial" w:cs="Arial"/>
          <w:sz w:val="24"/>
          <w:szCs w:val="24"/>
        </w:rPr>
        <w:t>операци</w:t>
      </w:r>
      <w:r w:rsidR="00C75FA5">
        <w:rPr>
          <w:rFonts w:ascii="Arial" w:hAnsi="Arial" w:cs="Arial"/>
          <w:sz w:val="24"/>
          <w:szCs w:val="24"/>
        </w:rPr>
        <w:t>и</w:t>
      </w:r>
      <w:r w:rsidR="00172E80">
        <w:rPr>
          <w:rFonts w:ascii="Arial" w:hAnsi="Arial" w:cs="Arial"/>
          <w:sz w:val="24"/>
          <w:szCs w:val="24"/>
        </w:rPr>
        <w:t xml:space="preserve"> с недвижимым имуществом</w:t>
      </w:r>
      <w:r w:rsidR="00C75FA5">
        <w:rPr>
          <w:rFonts w:ascii="Arial" w:hAnsi="Arial" w:cs="Arial"/>
          <w:sz w:val="24"/>
          <w:szCs w:val="24"/>
        </w:rPr>
        <w:t>»</w:t>
      </w:r>
      <w:r w:rsidR="00172E80">
        <w:rPr>
          <w:rFonts w:ascii="Arial" w:hAnsi="Arial" w:cs="Arial"/>
          <w:sz w:val="24"/>
          <w:szCs w:val="24"/>
        </w:rPr>
        <w:t xml:space="preserve"> (темп роста 114,29%), </w:t>
      </w:r>
      <w:r w:rsidR="00694F50">
        <w:rPr>
          <w:rFonts w:ascii="Arial" w:hAnsi="Arial" w:cs="Arial"/>
          <w:sz w:val="24"/>
          <w:szCs w:val="24"/>
        </w:rPr>
        <w:t>«</w:t>
      </w:r>
      <w:r w:rsidR="00172E80">
        <w:rPr>
          <w:rFonts w:ascii="Arial" w:hAnsi="Arial" w:cs="Arial"/>
          <w:sz w:val="24"/>
          <w:szCs w:val="24"/>
        </w:rPr>
        <w:t>финансовая деятельность</w:t>
      </w:r>
      <w:r w:rsidR="00694F50">
        <w:rPr>
          <w:rFonts w:ascii="Arial" w:hAnsi="Arial" w:cs="Arial"/>
          <w:sz w:val="24"/>
          <w:szCs w:val="24"/>
        </w:rPr>
        <w:t>»</w:t>
      </w:r>
      <w:r w:rsidR="00172E80">
        <w:rPr>
          <w:rFonts w:ascii="Arial" w:hAnsi="Arial" w:cs="Arial"/>
          <w:sz w:val="24"/>
          <w:szCs w:val="24"/>
        </w:rPr>
        <w:t xml:space="preserve"> (темп роста 135,29%)</w:t>
      </w:r>
      <w:r w:rsidR="00A36CB2">
        <w:rPr>
          <w:rFonts w:ascii="Arial" w:hAnsi="Arial" w:cs="Arial"/>
          <w:sz w:val="24"/>
          <w:szCs w:val="24"/>
        </w:rPr>
        <w:t xml:space="preserve"> (рис.1). Среднемесячная начисленная заработная плата работников малых предприятий составила 13610,1 руб</w:t>
      </w:r>
      <w:r w:rsidR="00FC591E">
        <w:rPr>
          <w:rFonts w:ascii="Arial" w:hAnsi="Arial" w:cs="Arial"/>
          <w:sz w:val="24"/>
          <w:szCs w:val="24"/>
        </w:rPr>
        <w:t>.</w:t>
      </w:r>
      <w:r w:rsidR="00A36CB2">
        <w:rPr>
          <w:rFonts w:ascii="Arial" w:hAnsi="Arial" w:cs="Arial"/>
          <w:sz w:val="24"/>
          <w:szCs w:val="24"/>
        </w:rPr>
        <w:t>, что на 10,91% больше, чем за аналогичный период прошлого года</w:t>
      </w:r>
      <w:r w:rsidR="00FC591E">
        <w:rPr>
          <w:rFonts w:ascii="Arial" w:hAnsi="Arial" w:cs="Arial"/>
          <w:sz w:val="24"/>
          <w:szCs w:val="24"/>
        </w:rPr>
        <w:t xml:space="preserve">, но </w:t>
      </w:r>
      <w:r w:rsidR="00C75FA5">
        <w:rPr>
          <w:rFonts w:ascii="Arial" w:hAnsi="Arial" w:cs="Arial"/>
          <w:sz w:val="24"/>
          <w:szCs w:val="24"/>
        </w:rPr>
        <w:t>на 1568,2</w:t>
      </w:r>
      <w:r w:rsidR="00FC591E">
        <w:rPr>
          <w:rFonts w:ascii="Arial" w:hAnsi="Arial" w:cs="Arial"/>
          <w:sz w:val="24"/>
          <w:szCs w:val="24"/>
        </w:rPr>
        <w:t xml:space="preserve"> руб.</w:t>
      </w:r>
      <w:r w:rsidR="00C75FA5">
        <w:rPr>
          <w:rFonts w:ascii="Arial" w:hAnsi="Arial" w:cs="Arial"/>
          <w:sz w:val="24"/>
          <w:szCs w:val="24"/>
        </w:rPr>
        <w:t xml:space="preserve"> ни</w:t>
      </w:r>
      <w:r w:rsidR="00FC591E">
        <w:rPr>
          <w:rFonts w:ascii="Arial" w:hAnsi="Arial" w:cs="Arial"/>
          <w:sz w:val="24"/>
          <w:szCs w:val="24"/>
        </w:rPr>
        <w:t>же, чем на средних предприятиях и на 2,45% ниже, чем по городу (13952 руб.).</w:t>
      </w:r>
    </w:p>
    <w:p w:rsidR="00D000B4" w:rsidRDefault="00CA6A8A" w:rsidP="00D000B4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010083" wp14:editId="7D328A7C">
            <wp:extent cx="5705475" cy="3876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000B4">
        <w:rPr>
          <w:rFonts w:ascii="Arial" w:hAnsi="Arial" w:cs="Arial"/>
          <w:sz w:val="24"/>
          <w:szCs w:val="24"/>
        </w:rPr>
        <w:t xml:space="preserve"> </w:t>
      </w:r>
    </w:p>
    <w:p w:rsidR="00B6651E" w:rsidRDefault="00DB01CA" w:rsidP="003B5C7F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Большинство работающих на малых предприятия</w:t>
      </w:r>
      <w:r w:rsidR="003278AD">
        <w:rPr>
          <w:rFonts w:ascii="Arial" w:hAnsi="Arial" w:cs="Arial"/>
          <w:sz w:val="24"/>
          <w:szCs w:val="24"/>
        </w:rPr>
        <w:t xml:space="preserve">х города занято в </w:t>
      </w:r>
      <w:r w:rsidR="003B5C7F">
        <w:rPr>
          <w:rFonts w:ascii="Arial" w:hAnsi="Arial" w:cs="Arial"/>
          <w:sz w:val="24"/>
          <w:szCs w:val="24"/>
        </w:rPr>
        <w:t>следующих отраслях: «</w:t>
      </w:r>
      <w:r w:rsidR="003278AD">
        <w:rPr>
          <w:rFonts w:ascii="Arial" w:hAnsi="Arial" w:cs="Arial"/>
          <w:sz w:val="24"/>
          <w:szCs w:val="24"/>
        </w:rPr>
        <w:t>промышленно</w:t>
      </w:r>
      <w:r w:rsidR="003B5C7F">
        <w:rPr>
          <w:rFonts w:ascii="Arial" w:hAnsi="Arial" w:cs="Arial"/>
          <w:sz w:val="24"/>
          <w:szCs w:val="24"/>
        </w:rPr>
        <w:t>е производство»</w:t>
      </w:r>
      <w:r w:rsidR="00430C7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24,19% от общего числа работ</w:t>
      </w:r>
      <w:r w:rsidR="003B5C7F">
        <w:rPr>
          <w:rFonts w:ascii="Arial" w:hAnsi="Arial" w:cs="Arial"/>
          <w:sz w:val="24"/>
          <w:szCs w:val="24"/>
        </w:rPr>
        <w:t>ников малых предприятий,</w:t>
      </w:r>
      <w:r>
        <w:rPr>
          <w:rFonts w:ascii="Arial" w:hAnsi="Arial" w:cs="Arial"/>
          <w:sz w:val="24"/>
          <w:szCs w:val="24"/>
        </w:rPr>
        <w:t xml:space="preserve"> </w:t>
      </w:r>
      <w:r w:rsidR="003B5C7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торговл</w:t>
      </w:r>
      <w:r w:rsidR="003B5C7F">
        <w:rPr>
          <w:rFonts w:ascii="Arial" w:hAnsi="Arial" w:cs="Arial"/>
          <w:sz w:val="24"/>
          <w:szCs w:val="24"/>
        </w:rPr>
        <w:t>я»</w:t>
      </w:r>
      <w:r>
        <w:rPr>
          <w:rFonts w:ascii="Arial" w:hAnsi="Arial" w:cs="Arial"/>
          <w:sz w:val="24"/>
          <w:szCs w:val="24"/>
        </w:rPr>
        <w:t xml:space="preserve"> </w:t>
      </w:r>
      <w:r w:rsidR="003B5C7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22,74%,</w:t>
      </w:r>
      <w:r w:rsidR="00E34D36">
        <w:rPr>
          <w:rFonts w:ascii="Arial" w:hAnsi="Arial" w:cs="Arial"/>
          <w:sz w:val="24"/>
          <w:szCs w:val="24"/>
        </w:rPr>
        <w:t xml:space="preserve"> </w:t>
      </w:r>
      <w:r w:rsidR="003B5C7F">
        <w:rPr>
          <w:rFonts w:ascii="Arial" w:hAnsi="Arial" w:cs="Arial"/>
          <w:sz w:val="24"/>
          <w:szCs w:val="24"/>
        </w:rPr>
        <w:t xml:space="preserve">«транспорт и связь» - </w:t>
      </w:r>
      <w:r w:rsidR="00E34D36">
        <w:rPr>
          <w:rFonts w:ascii="Arial" w:hAnsi="Arial" w:cs="Arial"/>
          <w:sz w:val="24"/>
          <w:szCs w:val="24"/>
        </w:rPr>
        <w:t>14,34%</w:t>
      </w:r>
      <w:r w:rsidR="003B5C7F">
        <w:rPr>
          <w:rFonts w:ascii="Arial" w:hAnsi="Arial" w:cs="Arial"/>
          <w:sz w:val="24"/>
          <w:szCs w:val="24"/>
        </w:rPr>
        <w:t xml:space="preserve">, 11,19% занято на предприятиях с основным видом деятельности «операции с недвижимым имуществом», в «строительстве» задействовано – 10,99%, на остальные отрасли приходится 16,54% всех работающих на малых предприятиях. </w:t>
      </w:r>
    </w:p>
    <w:p w:rsidR="0021220C" w:rsidRDefault="00CA6A8A" w:rsidP="004E7959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D1CC4C" wp14:editId="4986D4CC">
            <wp:extent cx="5943600" cy="32480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0F9" w:rsidRDefault="001310F9" w:rsidP="001310F9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Оборот средних предприятий в 1 квартале 2015 года составил 395683 тыс. руб., что на 9</w:t>
      </w:r>
      <w:r w:rsidR="009549FB">
        <w:rPr>
          <w:rFonts w:ascii="Arial" w:hAnsi="Arial" w:cs="Arial"/>
          <w:sz w:val="24"/>
          <w:szCs w:val="24"/>
        </w:rPr>
        <w:t xml:space="preserve"> процентных пунктов</w:t>
      </w:r>
      <w:r>
        <w:rPr>
          <w:rFonts w:ascii="Arial" w:hAnsi="Arial" w:cs="Arial"/>
          <w:sz w:val="24"/>
          <w:szCs w:val="24"/>
        </w:rPr>
        <w:t xml:space="preserve"> больше аналогичного периода прошлого года. </w:t>
      </w:r>
    </w:p>
    <w:p w:rsidR="00B80C7B" w:rsidRDefault="00EA506D" w:rsidP="001310F9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EA506D">
        <w:rPr>
          <w:rFonts w:ascii="Arial" w:hAnsi="Arial" w:cs="Arial"/>
          <w:sz w:val="24"/>
          <w:szCs w:val="24"/>
        </w:rPr>
        <w:t xml:space="preserve">Оборот </w:t>
      </w:r>
      <w:r w:rsidR="001310F9">
        <w:rPr>
          <w:rFonts w:ascii="Arial" w:hAnsi="Arial" w:cs="Arial"/>
          <w:sz w:val="24"/>
          <w:szCs w:val="24"/>
        </w:rPr>
        <w:t>малых</w:t>
      </w:r>
      <w:r w:rsidRPr="00EA506D">
        <w:rPr>
          <w:rFonts w:ascii="Arial" w:hAnsi="Arial" w:cs="Arial"/>
          <w:sz w:val="24"/>
          <w:szCs w:val="24"/>
        </w:rPr>
        <w:t xml:space="preserve"> предприятий составил </w:t>
      </w:r>
      <w:r w:rsidR="007327B2">
        <w:rPr>
          <w:rFonts w:ascii="Arial" w:hAnsi="Arial" w:cs="Arial"/>
          <w:sz w:val="24"/>
          <w:szCs w:val="24"/>
        </w:rPr>
        <w:t>1124729,5</w:t>
      </w:r>
      <w:r w:rsidRPr="00EA506D">
        <w:rPr>
          <w:rFonts w:ascii="Arial" w:hAnsi="Arial" w:cs="Arial"/>
          <w:sz w:val="24"/>
          <w:szCs w:val="24"/>
        </w:rPr>
        <w:t xml:space="preserve"> тыс. руб., что в </w:t>
      </w:r>
      <w:r w:rsidR="007327B2">
        <w:rPr>
          <w:rFonts w:ascii="Arial" w:hAnsi="Arial" w:cs="Arial"/>
          <w:sz w:val="24"/>
          <w:szCs w:val="24"/>
        </w:rPr>
        <w:t>1,6</w:t>
      </w:r>
      <w:r w:rsidRPr="00EA506D">
        <w:rPr>
          <w:rFonts w:ascii="Arial" w:hAnsi="Arial" w:cs="Arial"/>
          <w:sz w:val="24"/>
          <w:szCs w:val="24"/>
        </w:rPr>
        <w:t xml:space="preserve"> раза больше аналогичного периода прошлого года. Среди городских округов Новошахтинск занимает лидирующие позиции по темпу роста оборота </w:t>
      </w:r>
      <w:r w:rsidR="009549FB">
        <w:rPr>
          <w:rFonts w:ascii="Arial" w:hAnsi="Arial" w:cs="Arial"/>
          <w:sz w:val="24"/>
          <w:szCs w:val="24"/>
        </w:rPr>
        <w:t xml:space="preserve">малых </w:t>
      </w:r>
      <w:r w:rsidRPr="00EA506D">
        <w:rPr>
          <w:rFonts w:ascii="Arial" w:hAnsi="Arial" w:cs="Arial"/>
          <w:sz w:val="24"/>
          <w:szCs w:val="24"/>
        </w:rPr>
        <w:t>предприятий.</w:t>
      </w:r>
      <w:r w:rsidR="008C0CB7">
        <w:rPr>
          <w:rFonts w:ascii="Arial" w:hAnsi="Arial" w:cs="Arial"/>
          <w:sz w:val="24"/>
          <w:szCs w:val="24"/>
        </w:rPr>
        <w:t xml:space="preserve"> </w:t>
      </w:r>
      <w:r w:rsidR="008C0CB7" w:rsidRPr="008C0CB7">
        <w:rPr>
          <w:rFonts w:ascii="Arial" w:hAnsi="Arial" w:cs="Arial"/>
          <w:sz w:val="24"/>
          <w:szCs w:val="24"/>
        </w:rPr>
        <w:t xml:space="preserve">Исследование динамики оборота малых предприятий в разрезе видов экономической деятельности выявило следующие тенденции. По-прежнему, торговые предприятия оказывают существенное влияние на формирование оборота малых предприятий, на их долю приходится </w:t>
      </w:r>
      <w:r w:rsidR="008C0CB7">
        <w:rPr>
          <w:rFonts w:ascii="Arial" w:hAnsi="Arial" w:cs="Arial"/>
          <w:sz w:val="24"/>
          <w:szCs w:val="24"/>
        </w:rPr>
        <w:t>67,0</w:t>
      </w:r>
      <w:r w:rsidR="008C0CB7" w:rsidRPr="008C0CB7">
        <w:rPr>
          <w:rFonts w:ascii="Arial" w:hAnsi="Arial" w:cs="Arial"/>
          <w:sz w:val="24"/>
          <w:szCs w:val="24"/>
        </w:rPr>
        <w:t>% оборота малых предприятий.</w:t>
      </w:r>
      <w:r w:rsidR="008C0CB7">
        <w:rPr>
          <w:rFonts w:ascii="Arial" w:hAnsi="Arial" w:cs="Arial"/>
          <w:sz w:val="24"/>
          <w:szCs w:val="24"/>
        </w:rPr>
        <w:t xml:space="preserve"> </w:t>
      </w:r>
      <w:r w:rsidR="008C0CB7" w:rsidRPr="008C0CB7">
        <w:rPr>
          <w:rFonts w:ascii="Arial" w:hAnsi="Arial" w:cs="Arial"/>
          <w:sz w:val="24"/>
          <w:szCs w:val="24"/>
        </w:rPr>
        <w:t xml:space="preserve">На долю промышленных предприятий приходится </w:t>
      </w:r>
      <w:r w:rsidR="008C0CB7">
        <w:rPr>
          <w:rFonts w:ascii="Arial" w:hAnsi="Arial" w:cs="Arial"/>
          <w:sz w:val="24"/>
          <w:szCs w:val="24"/>
        </w:rPr>
        <w:t>19,</w:t>
      </w:r>
      <w:r w:rsidR="008C0CB7" w:rsidRPr="008C0CB7">
        <w:rPr>
          <w:rFonts w:ascii="Arial" w:hAnsi="Arial" w:cs="Arial"/>
          <w:sz w:val="24"/>
          <w:szCs w:val="24"/>
        </w:rPr>
        <w:t>0%, предприятий с основным видом деятельности «</w:t>
      </w:r>
      <w:r w:rsidR="008C0CB7">
        <w:rPr>
          <w:rFonts w:ascii="Arial" w:hAnsi="Arial" w:cs="Arial"/>
          <w:sz w:val="24"/>
          <w:szCs w:val="24"/>
        </w:rPr>
        <w:t>в</w:t>
      </w:r>
      <w:r w:rsidR="008C0CB7" w:rsidRPr="008C0CB7">
        <w:rPr>
          <w:rFonts w:ascii="Arial" w:hAnsi="Arial" w:cs="Arial"/>
          <w:sz w:val="24"/>
          <w:szCs w:val="24"/>
        </w:rPr>
        <w:t xml:space="preserve">спомогательная и дополнительная транспортная деятельность» – </w:t>
      </w:r>
      <w:r w:rsidR="008C0CB7">
        <w:rPr>
          <w:rFonts w:ascii="Arial" w:hAnsi="Arial" w:cs="Arial"/>
          <w:sz w:val="24"/>
          <w:szCs w:val="24"/>
        </w:rPr>
        <w:t xml:space="preserve">6,0% </w:t>
      </w:r>
    </w:p>
    <w:p w:rsidR="003E5C1D" w:rsidRDefault="00CA6A8A" w:rsidP="00E8364F">
      <w:pPr>
        <w:spacing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AA655A" wp14:editId="68FED10F">
            <wp:extent cx="5943600" cy="2466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E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32"/>
    <w:rsid w:val="00030CFF"/>
    <w:rsid w:val="000D0EC4"/>
    <w:rsid w:val="000E1D75"/>
    <w:rsid w:val="000E25F8"/>
    <w:rsid w:val="001310F9"/>
    <w:rsid w:val="00172E80"/>
    <w:rsid w:val="00191B4A"/>
    <w:rsid w:val="00195387"/>
    <w:rsid w:val="0021220C"/>
    <w:rsid w:val="002D1F10"/>
    <w:rsid w:val="003278AD"/>
    <w:rsid w:val="003A6F49"/>
    <w:rsid w:val="003B5C7F"/>
    <w:rsid w:val="003E5C1D"/>
    <w:rsid w:val="004135D5"/>
    <w:rsid w:val="00421C3F"/>
    <w:rsid w:val="00430C7B"/>
    <w:rsid w:val="00445F6F"/>
    <w:rsid w:val="00490F6E"/>
    <w:rsid w:val="004B72C1"/>
    <w:rsid w:val="004E7959"/>
    <w:rsid w:val="00605058"/>
    <w:rsid w:val="00626762"/>
    <w:rsid w:val="00694F50"/>
    <w:rsid w:val="006B7117"/>
    <w:rsid w:val="006D2411"/>
    <w:rsid w:val="00711BE5"/>
    <w:rsid w:val="007327B2"/>
    <w:rsid w:val="007E70F0"/>
    <w:rsid w:val="007E7D1D"/>
    <w:rsid w:val="008670FF"/>
    <w:rsid w:val="008A4E99"/>
    <w:rsid w:val="008B4946"/>
    <w:rsid w:val="008B7933"/>
    <w:rsid w:val="008C0CB7"/>
    <w:rsid w:val="008D3346"/>
    <w:rsid w:val="00911B3D"/>
    <w:rsid w:val="009549FB"/>
    <w:rsid w:val="00984B4D"/>
    <w:rsid w:val="009C71A3"/>
    <w:rsid w:val="009E5381"/>
    <w:rsid w:val="00A36CB2"/>
    <w:rsid w:val="00A63C37"/>
    <w:rsid w:val="00A91704"/>
    <w:rsid w:val="00A928D1"/>
    <w:rsid w:val="00AA142D"/>
    <w:rsid w:val="00B06191"/>
    <w:rsid w:val="00B14713"/>
    <w:rsid w:val="00B35EF7"/>
    <w:rsid w:val="00B53A32"/>
    <w:rsid w:val="00B6651E"/>
    <w:rsid w:val="00B80C7B"/>
    <w:rsid w:val="00B94E18"/>
    <w:rsid w:val="00B94ECA"/>
    <w:rsid w:val="00C40F61"/>
    <w:rsid w:val="00C75FA5"/>
    <w:rsid w:val="00CA6A8A"/>
    <w:rsid w:val="00CC0157"/>
    <w:rsid w:val="00CD35E7"/>
    <w:rsid w:val="00CF0B43"/>
    <w:rsid w:val="00D000B4"/>
    <w:rsid w:val="00D52E27"/>
    <w:rsid w:val="00D60B32"/>
    <w:rsid w:val="00D859BB"/>
    <w:rsid w:val="00DB01CA"/>
    <w:rsid w:val="00DB1769"/>
    <w:rsid w:val="00E34D36"/>
    <w:rsid w:val="00E8364F"/>
    <w:rsid w:val="00EA506D"/>
    <w:rsid w:val="00F02206"/>
    <w:rsid w:val="00F50581"/>
    <w:rsid w:val="00F542FE"/>
    <w:rsid w:val="00FC591E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0CB7"/>
  </w:style>
  <w:style w:type="paragraph" w:styleId="a5">
    <w:name w:val="caption"/>
    <w:basedOn w:val="a"/>
    <w:next w:val="a"/>
    <w:uiPriority w:val="35"/>
    <w:semiHidden/>
    <w:unhideWhenUsed/>
    <w:qFormat/>
    <w:rsid w:val="00CA6A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mp\Desktop\&#1052;&#1072;&#1088;&#1080;&#1085;&#1072;\&#1040;&#1085;&#1072;&#1083;&#1080;&#1079;%20&#1086;&#1088;&#1075;&#1072;&#1085;&#1080;&#1079;&#1072;&#1094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mp\Desktop\&#1052;&#1072;&#1088;&#1080;&#1085;&#1072;\&#1040;&#1085;&#1072;&#1083;&#1080;&#1079;%20&#1086;&#1088;&#1075;&#1072;&#1085;&#1080;&#1079;&#1072;&#1094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mp\Desktop\&#1052;&#1072;&#1088;&#1080;&#1085;&#1072;\&#1040;&#1085;&#1072;&#1083;&#1080;&#1079;%20&#1086;&#1088;&#1075;&#1072;&#1085;&#1080;&#1079;&#1072;&#1094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200" b="1" i="0" u="none" strike="noStrike" baseline="0">
                <a:effectLst/>
                <a:latin typeface="Arial" pitchFamily="34" charset="0"/>
                <a:cs typeface="Arial" pitchFamily="34" charset="0"/>
              </a:rPr>
              <a:t>Среднесписочная численность работников (без внешних совместителей и работников несписочного состава) за 1 квартал 2014г. и 2015г.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028432761185316"/>
          <c:y val="0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'Диаграмма для анализа'!$B$1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cat>
            <c:strRef>
              <c:f>'Диаграмма для анализа'!$A$2:$A$11</c:f>
              <c:strCache>
                <c:ptCount val="10"/>
                <c:pt idx="0">
                  <c:v>Деятельность гостиниц и ресторанов</c:v>
                </c:pt>
                <c:pt idx="1">
                  <c:v>Издательская и полиграфическая деятельность, тиражирование записанных носителей информации</c:v>
                </c:pt>
                <c:pt idx="2">
                  <c:v>Операции с недвижимым имуществом</c:v>
                </c:pt>
                <c:pt idx="3">
                  <c:v>Промышленное производство</c:v>
                </c:pt>
                <c:pt idx="4">
                  <c:v>Прочие отрасли</c:v>
                </c:pt>
                <c:pt idx="5">
                  <c:v>Сельское хозяйство, охота и предоставление услуг в этих областях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</c:strCache>
            </c:strRef>
          </c:cat>
          <c:val>
            <c:numRef>
              <c:f>'Диаграмма для анализа'!$B$2:$B$11</c:f>
              <c:numCache>
                <c:formatCode>General</c:formatCode>
                <c:ptCount val="10"/>
                <c:pt idx="0">
                  <c:v>26</c:v>
                </c:pt>
                <c:pt idx="1">
                  <c:v>1</c:v>
                </c:pt>
                <c:pt idx="2">
                  <c:v>224</c:v>
                </c:pt>
                <c:pt idx="3">
                  <c:v>484</c:v>
                </c:pt>
                <c:pt idx="4">
                  <c:v>208</c:v>
                </c:pt>
                <c:pt idx="5">
                  <c:v>73</c:v>
                </c:pt>
                <c:pt idx="6">
                  <c:v>220</c:v>
                </c:pt>
                <c:pt idx="7">
                  <c:v>455</c:v>
                </c:pt>
                <c:pt idx="8">
                  <c:v>287</c:v>
                </c:pt>
                <c:pt idx="9">
                  <c:v>23</c:v>
                </c:pt>
              </c:numCache>
            </c:numRef>
          </c:val>
        </c:ser>
        <c:ser>
          <c:idx val="1"/>
          <c:order val="1"/>
          <c:tx>
            <c:strRef>
              <c:f>'Диаграмма для анализа'!$C$1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cat>
            <c:strRef>
              <c:f>'Диаграмма для анализа'!$A$2:$A$11</c:f>
              <c:strCache>
                <c:ptCount val="10"/>
                <c:pt idx="0">
                  <c:v>Деятельность гостиниц и ресторанов</c:v>
                </c:pt>
                <c:pt idx="1">
                  <c:v>Издательская и полиграфическая деятельность, тиражирование записанных носителей информации</c:v>
                </c:pt>
                <c:pt idx="2">
                  <c:v>Операции с недвижимым имуществом</c:v>
                </c:pt>
                <c:pt idx="3">
                  <c:v>Промышленное производство</c:v>
                </c:pt>
                <c:pt idx="4">
                  <c:v>Прочие отрасли</c:v>
                </c:pt>
                <c:pt idx="5">
                  <c:v>Сельское хозяйство, охота и предоставление услуг в этих областях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</c:strCache>
            </c:strRef>
          </c:cat>
          <c:val>
            <c:numRef>
              <c:f>'Диаграмма для анализа'!$C$2:$C$11</c:f>
              <c:numCache>
                <c:formatCode>General</c:formatCode>
                <c:ptCount val="10"/>
                <c:pt idx="0">
                  <c:v>38</c:v>
                </c:pt>
                <c:pt idx="1">
                  <c:v>4</c:v>
                </c:pt>
                <c:pt idx="2">
                  <c:v>196</c:v>
                </c:pt>
                <c:pt idx="3">
                  <c:v>410</c:v>
                </c:pt>
                <c:pt idx="4">
                  <c:v>188</c:v>
                </c:pt>
                <c:pt idx="5">
                  <c:v>77</c:v>
                </c:pt>
                <c:pt idx="6">
                  <c:v>227</c:v>
                </c:pt>
                <c:pt idx="7">
                  <c:v>455</c:v>
                </c:pt>
                <c:pt idx="8">
                  <c:v>293</c:v>
                </c:pt>
                <c:pt idx="9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61594368"/>
        <c:axId val="161596160"/>
        <c:axId val="155924224"/>
      </c:bar3DChart>
      <c:catAx>
        <c:axId val="161594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1596160"/>
        <c:crosses val="autoZero"/>
        <c:auto val="1"/>
        <c:lblAlgn val="ctr"/>
        <c:lblOffset val="100"/>
        <c:noMultiLvlLbl val="0"/>
      </c:catAx>
      <c:valAx>
        <c:axId val="161596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1594368"/>
        <c:crosses val="autoZero"/>
        <c:crossBetween val="between"/>
      </c:valAx>
      <c:serAx>
        <c:axId val="155924224"/>
        <c:scaling>
          <c:orientation val="minMax"/>
        </c:scaling>
        <c:delete val="1"/>
        <c:axPos val="b"/>
        <c:majorTickMark val="out"/>
        <c:minorTickMark val="none"/>
        <c:tickLblPos val="nextTo"/>
        <c:crossAx val="161596160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Arial" pitchFamily="34" charset="0"/>
                <a:cs typeface="Arial" pitchFamily="34" charset="0"/>
              </a:rPr>
              <a:t>Структура занятого населения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Arial" pitchFamily="34" charset="0"/>
                <a:cs typeface="Arial" pitchFamily="34" charset="0"/>
              </a:rPr>
              <a:t>города в малом предпринимательстве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1.8204182041820641E-3"/>
          <c:y val="1.11420645397508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'Диаграмма для анализа'!$D$1</c:f>
              <c:strCache>
                <c:ptCount val="1"/>
                <c:pt idx="0">
                  <c:v>%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'Диаграмма для анализа'!$A$2:$A$11</c:f>
              <c:strCache>
                <c:ptCount val="10"/>
                <c:pt idx="0">
                  <c:v>Деятельность гостиниц и ресторанов</c:v>
                </c:pt>
                <c:pt idx="1">
                  <c:v>Издательская и полиграфическая деятельность, тиражирование записанных носителей информации</c:v>
                </c:pt>
                <c:pt idx="2">
                  <c:v>Операции с недвижимым имуществом</c:v>
                </c:pt>
                <c:pt idx="3">
                  <c:v>Промышленное производство</c:v>
                </c:pt>
                <c:pt idx="4">
                  <c:v>Прочие отрасли</c:v>
                </c:pt>
                <c:pt idx="5">
                  <c:v>Сельское хозяйство, охота и предоставление услуг в этих областях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</c:strCache>
            </c:strRef>
          </c:cat>
          <c:val>
            <c:numRef>
              <c:f>'Диаграмма для анализа'!$D$2:$D$11</c:f>
              <c:numCache>
                <c:formatCode>0.00%</c:formatCode>
                <c:ptCount val="10"/>
                <c:pt idx="0">
                  <c:v>1.2993503248375782E-2</c:v>
                </c:pt>
                <c:pt idx="1">
                  <c:v>4.997501249375258E-4</c:v>
                </c:pt>
                <c:pt idx="2">
                  <c:v>0.111944027986007</c:v>
                </c:pt>
                <c:pt idx="3">
                  <c:v>0.24187906046976515</c:v>
                </c:pt>
                <c:pt idx="4">
                  <c:v>0.10394802598700648</c:v>
                </c:pt>
                <c:pt idx="5">
                  <c:v>3.6481759120439827E-2</c:v>
                </c:pt>
                <c:pt idx="6">
                  <c:v>0.1099450274862569</c:v>
                </c:pt>
                <c:pt idx="7">
                  <c:v>0.22738630684657668</c:v>
                </c:pt>
                <c:pt idx="8">
                  <c:v>0.14342828585707146</c:v>
                </c:pt>
                <c:pt idx="9">
                  <c:v>1.1494252873563204E-2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699172218857261"/>
          <c:y val="2.7777777777777776E-2"/>
          <c:w val="0.44634144289656102"/>
          <c:h val="0.97219889180519103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Arial" pitchFamily="34" charset="0"/>
                <a:cs typeface="Arial" pitchFamily="34" charset="0"/>
              </a:rPr>
              <a:t>Структура оборота малых предприятий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1.3126402480065542E-2"/>
          <c:y val="3.036050106779715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для анализа1'!$A$4:$A$10</c:f>
              <c:strCache>
                <c:ptCount val="7"/>
                <c:pt idx="0">
                  <c:v>Сельское хозяйство, охота и предоставление услуг в этих областях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Транспорт и связь</c:v>
                </c:pt>
                <c:pt idx="5">
                  <c:v>Прочие отрасли</c:v>
                </c:pt>
                <c:pt idx="6">
                  <c:v>Операции с недвижимым имуществом</c:v>
                </c:pt>
              </c:strCache>
            </c:strRef>
          </c:cat>
          <c:val>
            <c:numRef>
              <c:f>'Диаграмма для анализа1'!$B$4:$B$10</c:f>
              <c:numCache>
                <c:formatCode>_(* #,##0.00_);_(* \(#,##0.00\);_(* "-"??_);_(@_)</c:formatCode>
                <c:ptCount val="7"/>
                <c:pt idx="0">
                  <c:v>11668.9</c:v>
                </c:pt>
                <c:pt idx="1">
                  <c:v>245680.99999999997</c:v>
                </c:pt>
                <c:pt idx="2">
                  <c:v>35186.5</c:v>
                </c:pt>
                <c:pt idx="3">
                  <c:v>878613.60000000009</c:v>
                </c:pt>
                <c:pt idx="4">
                  <c:v>77430.7</c:v>
                </c:pt>
                <c:pt idx="5">
                  <c:v>20889.099999999999</c:v>
                </c:pt>
                <c:pt idx="6">
                  <c:v>35897.4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для анализа1'!$A$4:$A$10</c:f>
              <c:strCache>
                <c:ptCount val="7"/>
                <c:pt idx="0">
                  <c:v>Сельское хозяйство, охота и предоставление услуг в этих областях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Транспорт и связь</c:v>
                </c:pt>
                <c:pt idx="5">
                  <c:v>Прочие отрасли</c:v>
                </c:pt>
                <c:pt idx="6">
                  <c:v>Операции с недвижимым имуществом</c:v>
                </c:pt>
              </c:strCache>
            </c:strRef>
          </c:cat>
          <c:val>
            <c:numRef>
              <c:f>'Диаграмма для анализа1'!$C$4:$C$10</c:f>
              <c:numCache>
                <c:formatCode>_(* #,##0.00_);_(* \(#,##0.00\);_(* "-"??_);_(@_)</c:formatCode>
                <c:ptCount val="7"/>
                <c:pt idx="0">
                  <c:v>4301</c:v>
                </c:pt>
                <c:pt idx="1">
                  <c:v>91039.3</c:v>
                </c:pt>
                <c:pt idx="2">
                  <c:v>27675.200000000001</c:v>
                </c:pt>
                <c:pt idx="3">
                  <c:v>829166.9</c:v>
                </c:pt>
                <c:pt idx="4">
                  <c:v>46002.200000000004</c:v>
                </c:pt>
                <c:pt idx="5">
                  <c:v>21812.699999999997</c:v>
                </c:pt>
                <c:pt idx="6">
                  <c:v>39543.699999999997</c:v>
                </c:pt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для анализа1'!$A$4:$A$10</c:f>
              <c:strCache>
                <c:ptCount val="7"/>
                <c:pt idx="0">
                  <c:v>Сельское хозяйство, охота и предоставление услуг в этих областях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Транспорт и связь</c:v>
                </c:pt>
                <c:pt idx="5">
                  <c:v>Прочие отрасли</c:v>
                </c:pt>
                <c:pt idx="6">
                  <c:v>Операции с недвижимым имуществом</c:v>
                </c:pt>
              </c:strCache>
            </c:strRef>
          </c:cat>
          <c:val>
            <c:numRef>
              <c:f>'Диаграмма для анализа1'!$D$4:$D$10</c:f>
              <c:numCache>
                <c:formatCode>0%</c:formatCode>
                <c:ptCount val="7"/>
                <c:pt idx="0">
                  <c:v>2.7130667286677514</c:v>
                </c:pt>
                <c:pt idx="1">
                  <c:v>2.6986257583263487</c:v>
                </c:pt>
                <c:pt idx="2">
                  <c:v>1.271409059374458</c:v>
                </c:pt>
                <c:pt idx="3">
                  <c:v>1.0596341942737946</c:v>
                </c:pt>
                <c:pt idx="4">
                  <c:v>1.6831955862980463</c:v>
                </c:pt>
                <c:pt idx="5">
                  <c:v>0.95765769482915919</c:v>
                </c:pt>
                <c:pt idx="6">
                  <c:v>0.90779062151493173</c:v>
                </c:pt>
              </c:numCache>
            </c:numRef>
          </c:val>
        </c:ser>
        <c:ser>
          <c:idx val="3"/>
          <c:order val="3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'Диаграмма для анализа1'!$A$4:$A$10</c:f>
              <c:strCache>
                <c:ptCount val="7"/>
                <c:pt idx="0">
                  <c:v>Сельское хозяйство, охота и предоставление услуг в этих областях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Транспорт и связь</c:v>
                </c:pt>
                <c:pt idx="5">
                  <c:v>Прочие отрасли</c:v>
                </c:pt>
                <c:pt idx="6">
                  <c:v>Операции с недвижимым имуществом</c:v>
                </c:pt>
              </c:strCache>
            </c:strRef>
          </c:cat>
          <c:val>
            <c:numRef>
              <c:f>'Диаграмма для анализа1'!$E$4:$E$10</c:f>
              <c:numCache>
                <c:formatCode>0.00%</c:formatCode>
                <c:ptCount val="7"/>
                <c:pt idx="0">
                  <c:v>8.9165820581303956E-3</c:v>
                </c:pt>
                <c:pt idx="1">
                  <c:v>0.18773275943949685</c:v>
                </c:pt>
                <c:pt idx="2">
                  <c:v>2.6887137141324957E-2</c:v>
                </c:pt>
                <c:pt idx="3">
                  <c:v>0.67137693028386525</c:v>
                </c:pt>
                <c:pt idx="4">
                  <c:v>5.9167290007496876E-2</c:v>
                </c:pt>
                <c:pt idx="5">
                  <c:v>1.5962033633889483E-2</c:v>
                </c:pt>
                <c:pt idx="6">
                  <c:v>2.7430358711920677E-2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870835857056333"/>
          <c:y val="2.1386921229440907E-2"/>
          <c:w val="0.4384711286089239"/>
          <c:h val="0.961370504362630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19</cp:revision>
  <cp:lastPrinted>2015-07-13T07:02:00Z</cp:lastPrinted>
  <dcterms:created xsi:type="dcterms:W3CDTF">2015-07-03T06:01:00Z</dcterms:created>
  <dcterms:modified xsi:type="dcterms:W3CDTF">2015-07-29T12:50:00Z</dcterms:modified>
</cp:coreProperties>
</file>